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90E11E8" w14:textId="77777777" w:rsidR="009C4C79" w:rsidRDefault="00000000">
      <w:pPr>
        <w:pBdr>
          <w:bottom w:val="single" w:sz="12" w:space="0" w:color="66C010"/>
        </w:pBdr>
        <w:spacing w:after="260"/>
      </w:pPr>
      <w:r>
        <w:rPr>
          <w:b/>
          <w:bCs/>
          <w:color w:val="66C010"/>
          <w:spacing w:val="60"/>
          <w:sz w:val="15"/>
          <w:szCs w:val="15"/>
        </w:rPr>
        <w:t>FOR THE ADVISOR — DELETE THIS PAGE BEFORE SHARING WITH YOUR CLIENT</w:t>
      </w:r>
    </w:p>
    <w:p w14:paraId="0BD1DE15" w14:textId="77777777" w:rsidR="009C4C79" w:rsidRDefault="00000000">
      <w:pPr>
        <w:spacing w:after="200"/>
      </w:pPr>
      <w:r>
        <w:rPr>
          <w:rFonts w:ascii="Libre Baskerville" w:eastAsia="Libre Baskerville" w:hAnsi="Libre Baskerville" w:cs="Libre Baskerville"/>
          <w:color w:val="002145"/>
          <w:sz w:val="32"/>
          <w:szCs w:val="32"/>
        </w:rPr>
        <w:t>Make this yours in about two minutes</w:t>
      </w:r>
    </w:p>
    <w:p w14:paraId="0D417538" w14:textId="77777777" w:rsidR="009C4C79" w:rsidRDefault="00000000">
      <w:pPr>
        <w:spacing w:after="200" w:line="340" w:lineRule="auto"/>
      </w:pPr>
      <w:r>
        <w:rPr>
          <w:color w:val="6E747C"/>
          <w:sz w:val="22"/>
          <w:szCs w:val="22"/>
        </w:rPr>
        <w:t>“Business Value 101” is yours to brand and share. It is an editable Word document by design — so your firm's name and logo go on it, not ours. Nothing here is locked.</w:t>
      </w:r>
    </w:p>
    <w:p w14:paraId="233A918E" w14:textId="77777777" w:rsidR="009C4C79" w:rsidRDefault="009C4C79">
      <w:pPr>
        <w:spacing w:after="120"/>
      </w:pPr>
    </w:p>
    <w:p w14:paraId="18EEAE82" w14:textId="77777777" w:rsidR="009C4C79" w:rsidRDefault="00000000">
      <w:pPr>
        <w:spacing w:before="120" w:after="70"/>
      </w:pPr>
      <w:r>
        <w:rPr>
          <w:b/>
          <w:bCs/>
          <w:color w:val="66C010"/>
          <w:spacing w:val="30"/>
          <w:sz w:val="17"/>
          <w:szCs w:val="17"/>
        </w:rPr>
        <w:t>01</w:t>
      </w:r>
      <w:r>
        <w:rPr>
          <w:b/>
          <w:bCs/>
          <w:color w:val="002145"/>
          <w:sz w:val="20"/>
          <w:szCs w:val="20"/>
        </w:rPr>
        <w:t xml:space="preserve">   Drop in your logo</w:t>
      </w:r>
    </w:p>
    <w:p w14:paraId="17A9745D" w14:textId="77777777" w:rsidR="009C4C79" w:rsidRDefault="00000000">
      <w:pPr>
        <w:spacing w:line="310" w:lineRule="auto"/>
        <w:ind w:left="400"/>
      </w:pPr>
      <w:r>
        <w:rPr>
          <w:sz w:val="19"/>
          <w:szCs w:val="19"/>
        </w:rPr>
        <w:t>Right-click the dashed “YOUR LOGO HERE” box on the cover and choose Change Picture → From a File. Word keeps the sizing and position for you. The same box appears again on the closing page.</w:t>
      </w:r>
    </w:p>
    <w:p w14:paraId="5AE1E408" w14:textId="77777777" w:rsidR="009C4C79" w:rsidRDefault="00000000">
      <w:pPr>
        <w:spacing w:before="260" w:after="70"/>
      </w:pPr>
      <w:r>
        <w:rPr>
          <w:b/>
          <w:bCs/>
          <w:color w:val="66C010"/>
          <w:spacing w:val="30"/>
          <w:sz w:val="17"/>
          <w:szCs w:val="17"/>
        </w:rPr>
        <w:t>02</w:t>
      </w:r>
      <w:r>
        <w:rPr>
          <w:b/>
          <w:bCs/>
          <w:color w:val="002145"/>
          <w:sz w:val="20"/>
          <w:szCs w:val="20"/>
        </w:rPr>
        <w:t xml:space="preserve">   Replace the bracketed fields</w:t>
      </w:r>
    </w:p>
    <w:p w14:paraId="26F5F55A" w14:textId="77777777" w:rsidR="009C4C79" w:rsidRDefault="00000000">
      <w:pPr>
        <w:spacing w:line="310" w:lineRule="auto"/>
        <w:ind w:left="400"/>
      </w:pPr>
      <w:r>
        <w:rPr>
          <w:sz w:val="19"/>
          <w:szCs w:val="19"/>
        </w:rPr>
        <w:t>Anything in [SQUARE BRACKETS] is a placeholder — your firm name, your name, your contact details. Use Word's Find &amp; Replace to catch them all at once.</w:t>
      </w:r>
    </w:p>
    <w:p w14:paraId="44D24D7E" w14:textId="705625C4" w:rsidR="009C4C79" w:rsidRDefault="00000000">
      <w:pPr>
        <w:spacing w:before="260" w:after="70"/>
      </w:pPr>
      <w:r>
        <w:rPr>
          <w:b/>
          <w:bCs/>
          <w:color w:val="66C010"/>
          <w:spacing w:val="30"/>
          <w:sz w:val="17"/>
          <w:szCs w:val="17"/>
        </w:rPr>
        <w:t>03</w:t>
      </w:r>
      <w:r>
        <w:rPr>
          <w:b/>
          <w:bCs/>
          <w:color w:val="002145"/>
          <w:sz w:val="20"/>
          <w:szCs w:val="20"/>
        </w:rPr>
        <w:t xml:space="preserve">   Set your own fonts</w:t>
      </w:r>
      <w:r w:rsidR="004C67D0">
        <w:rPr>
          <w:b/>
          <w:bCs/>
          <w:color w:val="002145"/>
          <w:sz w:val="20"/>
          <w:szCs w:val="20"/>
        </w:rPr>
        <w:t xml:space="preserve"> and colors</w:t>
      </w:r>
      <w:r>
        <w:rPr>
          <w:b/>
          <w:bCs/>
          <w:color w:val="002145"/>
          <w:sz w:val="20"/>
          <w:szCs w:val="20"/>
        </w:rPr>
        <w:t>, if you like</w:t>
      </w:r>
    </w:p>
    <w:p w14:paraId="52F3C5C5" w14:textId="014C3D9E" w:rsidR="009C4C79" w:rsidRDefault="00000000">
      <w:pPr>
        <w:spacing w:line="310" w:lineRule="auto"/>
        <w:ind w:left="400"/>
      </w:pPr>
      <w:r>
        <w:rPr>
          <w:sz w:val="19"/>
          <w:szCs w:val="19"/>
        </w:rPr>
        <w:t>The document is set in Libre Baskerville and DM Sans, both free from Google Fonts. If your firm uses different typefaces</w:t>
      </w:r>
      <w:r w:rsidR="00576F9F">
        <w:rPr>
          <w:sz w:val="19"/>
          <w:szCs w:val="19"/>
        </w:rPr>
        <w:t xml:space="preserve"> and colors</w:t>
      </w:r>
      <w:r>
        <w:rPr>
          <w:sz w:val="19"/>
          <w:szCs w:val="19"/>
        </w:rPr>
        <w:t>, select all and change them — the layout will hold.</w:t>
      </w:r>
    </w:p>
    <w:p w14:paraId="6CF6FF17" w14:textId="77777777" w:rsidR="009C4C79" w:rsidRDefault="00000000">
      <w:pPr>
        <w:spacing w:before="260" w:after="70"/>
      </w:pPr>
      <w:r>
        <w:rPr>
          <w:b/>
          <w:bCs/>
          <w:color w:val="66C010"/>
          <w:spacing w:val="30"/>
          <w:sz w:val="17"/>
          <w:szCs w:val="17"/>
        </w:rPr>
        <w:t>04</w:t>
      </w:r>
      <w:r>
        <w:rPr>
          <w:b/>
          <w:bCs/>
          <w:color w:val="002145"/>
          <w:sz w:val="20"/>
          <w:szCs w:val="20"/>
        </w:rPr>
        <w:t xml:space="preserve">   Decide about the partner page</w:t>
      </w:r>
    </w:p>
    <w:p w14:paraId="5AA4FE1B" w14:textId="77777777" w:rsidR="009C4C79" w:rsidRDefault="00000000">
      <w:pPr>
        <w:spacing w:line="310" w:lineRule="auto"/>
        <w:ind w:left="400"/>
      </w:pPr>
      <w:r>
        <w:rPr>
          <w:sz w:val="19"/>
          <w:szCs w:val="19"/>
        </w:rPr>
        <w:t>Near the end there is a clearly marked page about Prevail Transaction Partners. Keep it if you want your client to know who handles the transaction; delete it if you would rather keep the introduction for a conversation.</w:t>
      </w:r>
    </w:p>
    <w:p w14:paraId="06B5291B" w14:textId="77777777" w:rsidR="009C4C79" w:rsidRDefault="00000000">
      <w:pPr>
        <w:spacing w:before="260" w:after="70"/>
      </w:pPr>
      <w:r>
        <w:rPr>
          <w:b/>
          <w:bCs/>
          <w:color w:val="66C010"/>
          <w:spacing w:val="30"/>
          <w:sz w:val="17"/>
          <w:szCs w:val="17"/>
        </w:rPr>
        <w:t>05</w:t>
      </w:r>
      <w:r>
        <w:rPr>
          <w:b/>
          <w:bCs/>
          <w:color w:val="002145"/>
          <w:sz w:val="20"/>
          <w:szCs w:val="20"/>
        </w:rPr>
        <w:t xml:space="preserve">   Send it as a PDF</w:t>
      </w:r>
    </w:p>
    <w:p w14:paraId="6EF6955F" w14:textId="77777777" w:rsidR="009C4C79" w:rsidRDefault="00000000">
      <w:pPr>
        <w:spacing w:line="310" w:lineRule="auto"/>
        <w:ind w:left="400"/>
      </w:pPr>
      <w:r>
        <w:rPr>
          <w:sz w:val="19"/>
          <w:szCs w:val="19"/>
        </w:rPr>
        <w:t>File → Save As → PDF. Your client gets a clean, finished document with your brand on it.</w:t>
      </w:r>
    </w:p>
    <w:p w14:paraId="04CD4FEE" w14:textId="77777777" w:rsidR="009C4C79" w:rsidRDefault="009C4C79">
      <w:pPr>
        <w:spacing w:after="320"/>
      </w:pPr>
    </w:p>
    <w:tbl>
      <w:tblPr>
        <w:tblW w:w="892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8928"/>
      </w:tblGrid>
      <w:tr w:rsidR="009C4C79" w14:paraId="40A8CCC2" w14:textId="77777777">
        <w:tblPrEx>
          <w:tblCellMar>
            <w:top w:w="0" w:type="dxa"/>
            <w:bottom w:w="0" w:type="dxa"/>
          </w:tblCellMar>
        </w:tblPrEx>
        <w:trPr>
          <w:cantSplit/>
        </w:trPr>
        <w:tc>
          <w:tcPr>
            <w:tcW w:w="8928" w:type="dxa"/>
            <w:tcBorders>
              <w:top w:val="none" w:sz="0" w:space="0" w:color="FFFFFF"/>
              <w:left w:val="single" w:sz="18" w:space="0" w:color="66C010"/>
              <w:bottom w:val="none" w:sz="0" w:space="0" w:color="FFFFFF"/>
              <w:right w:val="none" w:sz="0" w:space="0" w:color="FFFFFF"/>
            </w:tcBorders>
            <w:shd w:val="clear" w:color="auto" w:fill="EEECE3"/>
            <w:tcMar>
              <w:top w:w="240" w:type="dxa"/>
              <w:left w:w="330" w:type="dxa"/>
              <w:bottom w:w="240" w:type="dxa"/>
              <w:right w:w="330" w:type="dxa"/>
            </w:tcMar>
          </w:tcPr>
          <w:p w14:paraId="53801F06" w14:textId="77777777" w:rsidR="009C4C79" w:rsidRDefault="00000000">
            <w:pPr>
              <w:spacing w:after="90"/>
            </w:pPr>
            <w:r>
              <w:rPr>
                <w:b/>
                <w:bCs/>
                <w:color w:val="002145"/>
                <w:spacing w:val="60"/>
                <w:sz w:val="14"/>
                <w:szCs w:val="14"/>
              </w:rPr>
              <w:t>ONE THING WORTH KNOWING</w:t>
            </w:r>
          </w:p>
          <w:p w14:paraId="7533008B" w14:textId="77777777" w:rsidR="009C4C79" w:rsidRDefault="00000000">
            <w:r>
              <w:rPr>
                <w:sz w:val="20"/>
                <w:szCs w:val="20"/>
              </w:rPr>
              <w:t>This document is written to be useful on its own — no pitch, no pressure. That is deliberate. It earns the conversation instead of asking for it.</w:t>
            </w:r>
          </w:p>
        </w:tc>
      </w:tr>
    </w:tbl>
    <w:p w14:paraId="26C3F67C" w14:textId="77777777" w:rsidR="009C4C79" w:rsidRDefault="009C4C79">
      <w:pPr>
        <w:pageBreakBefore/>
      </w:pPr>
    </w:p>
    <w:p w14:paraId="46D3BBE1" w14:textId="77777777" w:rsidR="009C4C79" w:rsidRDefault="00000000">
      <w:r>
        <w:rPr>
          <w:noProof/>
        </w:rPr>
        <w:drawing>
          <wp:inline distT="0" distB="0" distL="0" distR="0" wp14:anchorId="326B0DCA" wp14:editId="4FFCD30D">
            <wp:extent cx="1600200" cy="5238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600200" cy="523875"/>
                    </a:xfrm>
                    <a:prstGeom prst="rect">
                      <a:avLst/>
                    </a:prstGeom>
                  </pic:spPr>
                </pic:pic>
              </a:graphicData>
            </a:graphic>
          </wp:inline>
        </w:drawing>
      </w:r>
    </w:p>
    <w:p w14:paraId="43DB6F7E" w14:textId="77777777" w:rsidR="009C4C79" w:rsidRDefault="009C4C79">
      <w:pPr>
        <w:spacing w:before="2400"/>
      </w:pPr>
    </w:p>
    <w:p w14:paraId="54511CEC" w14:textId="77777777" w:rsidR="009C4C79" w:rsidRDefault="00000000">
      <w:pPr>
        <w:spacing w:after="130"/>
      </w:pPr>
      <w:r>
        <w:rPr>
          <w:noProof/>
        </w:rPr>
        <w:drawing>
          <wp:inline distT="0" distB="0" distL="0" distR="0" wp14:anchorId="31397D4E" wp14:editId="0588DC2D">
            <wp:extent cx="142875" cy="85725"/>
            <wp:effectExtent l="0" t="0" r="0" b="0"/>
            <wp:docPr id="749980469" name="Picture 749980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42875" cy="85725"/>
                    </a:xfrm>
                    <a:prstGeom prst="rect">
                      <a:avLst/>
                    </a:prstGeom>
                  </pic:spPr>
                </pic:pic>
              </a:graphicData>
            </a:graphic>
          </wp:inline>
        </w:drawing>
      </w:r>
      <w:r>
        <w:rPr>
          <w:b/>
          <w:bCs/>
          <w:color w:val="66C010"/>
          <w:spacing w:val="80"/>
          <w:sz w:val="15"/>
          <w:szCs w:val="15"/>
        </w:rPr>
        <w:t xml:space="preserve">   A GUIDE FOR BUSINESS OWNERS</w:t>
      </w:r>
    </w:p>
    <w:p w14:paraId="46CF7601" w14:textId="77777777" w:rsidR="009C4C79" w:rsidRDefault="00000000">
      <w:pPr>
        <w:spacing w:line="258" w:lineRule="auto"/>
      </w:pPr>
      <w:r>
        <w:rPr>
          <w:rFonts w:ascii="Libre Baskerville" w:eastAsia="Libre Baskerville" w:hAnsi="Libre Baskerville" w:cs="Libre Baskerville"/>
          <w:color w:val="002145"/>
          <w:sz w:val="62"/>
          <w:szCs w:val="62"/>
        </w:rPr>
        <w:t>Business Value 101</w:t>
      </w:r>
    </w:p>
    <w:p w14:paraId="1FEEF043" w14:textId="77777777" w:rsidR="009C4C79" w:rsidRDefault="00000000">
      <w:pPr>
        <w:spacing w:before="260" w:after="240"/>
      </w:pPr>
      <w:r>
        <w:rPr>
          <w:noProof/>
        </w:rPr>
        <w:drawing>
          <wp:inline distT="0" distB="0" distL="0" distR="0" wp14:anchorId="6E735EB8" wp14:editId="5B05B7C5">
            <wp:extent cx="552450" cy="28575"/>
            <wp:effectExtent l="0" t="0" r="0" b="0"/>
            <wp:docPr id="1833048573" name="Picture 1833048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552450" cy="28575"/>
                    </a:xfrm>
                    <a:prstGeom prst="rect">
                      <a:avLst/>
                    </a:prstGeom>
                  </pic:spPr>
                </pic:pic>
              </a:graphicData>
            </a:graphic>
          </wp:inline>
        </w:drawing>
      </w:r>
    </w:p>
    <w:p w14:paraId="2C840365" w14:textId="77777777" w:rsidR="009C4C79" w:rsidRDefault="00000000">
      <w:pPr>
        <w:spacing w:line="350" w:lineRule="auto"/>
        <w:ind w:right="1500"/>
      </w:pPr>
      <w:r>
        <w:rPr>
          <w:color w:val="6E747C"/>
          <w:sz w:val="24"/>
          <w:szCs w:val="24"/>
        </w:rPr>
        <w:t xml:space="preserve">How buyers </w:t>
      </w:r>
      <w:proofErr w:type="gramStart"/>
      <w:r>
        <w:rPr>
          <w:color w:val="6E747C"/>
          <w:sz w:val="24"/>
          <w:szCs w:val="24"/>
        </w:rPr>
        <w:t>actually value</w:t>
      </w:r>
      <w:proofErr w:type="gramEnd"/>
      <w:r>
        <w:rPr>
          <w:color w:val="6E747C"/>
          <w:sz w:val="24"/>
          <w:szCs w:val="24"/>
        </w:rPr>
        <w:t xml:space="preserve"> a privately held business — what drives the number, what suppresses it, and what you can influence before you ever go to market.</w:t>
      </w:r>
    </w:p>
    <w:p w14:paraId="5F83175A" w14:textId="77777777" w:rsidR="009C4C79" w:rsidRDefault="009C4C79">
      <w:pPr>
        <w:spacing w:before="2200"/>
      </w:pPr>
    </w:p>
    <w:tbl>
      <w:tblPr>
        <w:tblW w:w="892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8928"/>
      </w:tblGrid>
      <w:tr w:rsidR="009C4C79" w14:paraId="1E3DE08D" w14:textId="77777777">
        <w:tblPrEx>
          <w:tblCellMar>
            <w:top w:w="0" w:type="dxa"/>
            <w:bottom w:w="0" w:type="dxa"/>
          </w:tblCellMar>
        </w:tblPrEx>
        <w:trPr>
          <w:cantSplit/>
        </w:trPr>
        <w:tc>
          <w:tcPr>
            <w:tcW w:w="8928" w:type="dxa"/>
            <w:tcBorders>
              <w:top w:val="none" w:sz="0" w:space="0" w:color="FFFFFF"/>
              <w:left w:val="none" w:sz="0" w:space="0" w:color="FFFFFF"/>
              <w:bottom w:val="none" w:sz="0" w:space="0" w:color="FFFFFF"/>
              <w:right w:val="none" w:sz="0" w:space="0" w:color="FFFFFF"/>
            </w:tcBorders>
            <w:shd w:val="clear" w:color="auto" w:fill="002145"/>
            <w:tcMar>
              <w:top w:w="330" w:type="dxa"/>
              <w:left w:w="380" w:type="dxa"/>
              <w:bottom w:w="330" w:type="dxa"/>
              <w:right w:w="380" w:type="dxa"/>
            </w:tcMar>
          </w:tcPr>
          <w:p w14:paraId="4323B37C" w14:textId="77777777" w:rsidR="009C4C79" w:rsidRDefault="00000000">
            <w:pPr>
              <w:spacing w:after="110"/>
            </w:pPr>
            <w:r>
              <w:rPr>
                <w:b/>
                <w:bCs/>
                <w:color w:val="9FB3C8"/>
                <w:spacing w:val="60"/>
                <w:sz w:val="14"/>
                <w:szCs w:val="14"/>
              </w:rPr>
              <w:t>PREPARED BY</w:t>
            </w:r>
          </w:p>
          <w:p w14:paraId="4BA96314" w14:textId="77777777" w:rsidR="009C4C79" w:rsidRDefault="00000000">
            <w:r>
              <w:rPr>
                <w:rFonts w:ascii="Libre Baskerville" w:eastAsia="Libre Baskerville" w:hAnsi="Libre Baskerville" w:cs="Libre Baskerville"/>
                <w:color w:val="FFFFFF"/>
                <w:sz w:val="30"/>
                <w:szCs w:val="30"/>
              </w:rPr>
              <w:t xml:space="preserve">[YOUR </w:t>
            </w:r>
            <w:proofErr w:type="gramStart"/>
            <w:r>
              <w:rPr>
                <w:rFonts w:ascii="Libre Baskerville" w:eastAsia="Libre Baskerville" w:hAnsi="Libre Baskerville" w:cs="Libre Baskerville"/>
                <w:color w:val="FFFFFF"/>
                <w:sz w:val="30"/>
                <w:szCs w:val="30"/>
              </w:rPr>
              <w:t>FIRM</w:t>
            </w:r>
            <w:proofErr w:type="gramEnd"/>
            <w:r>
              <w:rPr>
                <w:rFonts w:ascii="Libre Baskerville" w:eastAsia="Libre Baskerville" w:hAnsi="Libre Baskerville" w:cs="Libre Baskerville"/>
                <w:color w:val="FFFFFF"/>
                <w:sz w:val="30"/>
                <w:szCs w:val="30"/>
              </w:rPr>
              <w:t xml:space="preserve"> NAME]</w:t>
            </w:r>
          </w:p>
          <w:p w14:paraId="3C4AD799" w14:textId="77777777" w:rsidR="009C4C79" w:rsidRDefault="00000000">
            <w:pPr>
              <w:spacing w:before="130"/>
            </w:pPr>
            <w:r>
              <w:rPr>
                <w:color w:val="AEC0D2"/>
                <w:sz w:val="18"/>
                <w:szCs w:val="18"/>
              </w:rPr>
              <w:t>Prepared for owners considering a future transition</w:t>
            </w:r>
          </w:p>
        </w:tc>
      </w:tr>
    </w:tbl>
    <w:p w14:paraId="46DC3E24" w14:textId="77777777" w:rsidR="009C4C79" w:rsidRDefault="009C4C79">
      <w:pPr>
        <w:sectPr w:rsidR="009C4C79">
          <w:pgSz w:w="12240" w:h="15840"/>
          <w:pgMar w:top="1440" w:right="1656" w:bottom="1300" w:left="1656" w:header="720" w:footer="720" w:gutter="0"/>
          <w:cols w:space="720"/>
          <w:docGrid w:linePitch="360"/>
        </w:sectPr>
      </w:pPr>
    </w:p>
    <w:p w14:paraId="0A48B868" w14:textId="77777777" w:rsidR="009C4C79" w:rsidRDefault="00000000">
      <w:pPr>
        <w:keepNext/>
        <w:keepLines/>
        <w:spacing w:after="90"/>
      </w:pPr>
      <w:r>
        <w:rPr>
          <w:noProof/>
        </w:rPr>
        <w:lastRenderedPageBreak/>
        <w:drawing>
          <wp:inline distT="0" distB="0" distL="0" distR="0" wp14:anchorId="0567F53C" wp14:editId="0037AB29">
            <wp:extent cx="142875" cy="85725"/>
            <wp:effectExtent l="0" t="0" r="0" b="0"/>
            <wp:docPr id="976515173" name="Picture 976515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42875" cy="85725"/>
                    </a:xfrm>
                    <a:prstGeom prst="rect">
                      <a:avLst/>
                    </a:prstGeom>
                  </pic:spPr>
                </pic:pic>
              </a:graphicData>
            </a:graphic>
          </wp:inline>
        </w:drawing>
      </w:r>
      <w:r>
        <w:rPr>
          <w:b/>
          <w:bCs/>
          <w:color w:val="66C010"/>
          <w:spacing w:val="70"/>
          <w:sz w:val="15"/>
          <w:szCs w:val="15"/>
        </w:rPr>
        <w:t xml:space="preserve">   </w:t>
      </w:r>
    </w:p>
    <w:p w14:paraId="22D732A4" w14:textId="77777777" w:rsidR="009C4C79" w:rsidRDefault="00000000">
      <w:pPr>
        <w:keepNext/>
        <w:keepLines/>
        <w:pBdr>
          <w:bottom w:val="single" w:sz="6" w:space="0" w:color="002145"/>
        </w:pBdr>
        <w:spacing w:after="170"/>
      </w:pPr>
      <w:r>
        <w:rPr>
          <w:rFonts w:ascii="Libre Baskerville" w:eastAsia="Libre Baskerville" w:hAnsi="Libre Baskerville" w:cs="Libre Baskerville"/>
          <w:color w:val="002145"/>
          <w:sz w:val="38"/>
          <w:szCs w:val="38"/>
        </w:rPr>
        <w:t>Why this guide exists</w:t>
      </w:r>
    </w:p>
    <w:p w14:paraId="34BE94A5" w14:textId="77777777" w:rsidR="009C4C79" w:rsidRDefault="00000000">
      <w:pPr>
        <w:spacing w:after="200" w:line="340" w:lineRule="auto"/>
      </w:pPr>
      <w:r>
        <w:rPr>
          <w:sz w:val="22"/>
          <w:szCs w:val="22"/>
        </w:rPr>
        <w:t xml:space="preserve">Most owners only sell a business once. The vocabulary around valuation — multiples, add-backs, enterprise value — gets used freely by buyers and rarely explained to the person on the other side of the table. That asymmetry costs </w:t>
      </w:r>
      <w:proofErr w:type="gramStart"/>
      <w:r>
        <w:rPr>
          <w:sz w:val="22"/>
          <w:szCs w:val="22"/>
        </w:rPr>
        <w:t>owners</w:t>
      </w:r>
      <w:proofErr w:type="gramEnd"/>
      <w:r>
        <w:rPr>
          <w:sz w:val="22"/>
          <w:szCs w:val="22"/>
        </w:rPr>
        <w:t xml:space="preserve"> money.</w:t>
      </w:r>
    </w:p>
    <w:p w14:paraId="0E595A55" w14:textId="77777777" w:rsidR="009C4C79" w:rsidRDefault="00000000">
      <w:pPr>
        <w:spacing w:after="200" w:line="340" w:lineRule="auto"/>
      </w:pPr>
      <w:r>
        <w:rPr>
          <w:sz w:val="22"/>
          <w:szCs w:val="22"/>
        </w:rPr>
        <w:t>This guide closes the gap. It explains, in plain terms, how buyers arrive at a number for a business like yours, which factors move that number, and where you still have influence. You do not need a finance background to use it. You need about twenty minutes.</w:t>
      </w:r>
    </w:p>
    <w:p w14:paraId="14EB20EF" w14:textId="77777777" w:rsidR="009C4C79" w:rsidRDefault="009C4C79">
      <w:pPr>
        <w:spacing w:after="80"/>
      </w:pPr>
    </w:p>
    <w:tbl>
      <w:tblPr>
        <w:tblW w:w="892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8928"/>
      </w:tblGrid>
      <w:tr w:rsidR="009C4C79" w14:paraId="47F30B86" w14:textId="77777777">
        <w:tblPrEx>
          <w:tblCellMar>
            <w:top w:w="0" w:type="dxa"/>
            <w:bottom w:w="0" w:type="dxa"/>
          </w:tblCellMar>
        </w:tblPrEx>
        <w:trPr>
          <w:cantSplit/>
        </w:trPr>
        <w:tc>
          <w:tcPr>
            <w:tcW w:w="8928" w:type="dxa"/>
            <w:tcBorders>
              <w:top w:val="none" w:sz="0" w:space="0" w:color="FFFFFF"/>
              <w:left w:val="single" w:sz="18" w:space="0" w:color="66C010"/>
              <w:bottom w:val="none" w:sz="0" w:space="0" w:color="FFFFFF"/>
              <w:right w:val="none" w:sz="0" w:space="0" w:color="FFFFFF"/>
            </w:tcBorders>
            <w:shd w:val="clear" w:color="auto" w:fill="EEECE3"/>
            <w:tcMar>
              <w:top w:w="240" w:type="dxa"/>
              <w:left w:w="330" w:type="dxa"/>
              <w:bottom w:w="240" w:type="dxa"/>
              <w:right w:w="330" w:type="dxa"/>
            </w:tcMar>
          </w:tcPr>
          <w:p w14:paraId="1B5B3131" w14:textId="77777777" w:rsidR="009C4C79" w:rsidRDefault="00000000">
            <w:pPr>
              <w:spacing w:after="90"/>
            </w:pPr>
            <w:r>
              <w:rPr>
                <w:b/>
                <w:bCs/>
                <w:color w:val="002145"/>
                <w:spacing w:val="60"/>
                <w:sz w:val="14"/>
                <w:szCs w:val="14"/>
              </w:rPr>
              <w:t>HOW TO USE THIS</w:t>
            </w:r>
          </w:p>
          <w:p w14:paraId="147AD967" w14:textId="77777777" w:rsidR="009C4C79" w:rsidRDefault="00000000">
            <w:r>
              <w:t>Read it once end to end, then come back to Section 5. That is where the levers are — the handful of things that reliably change what a buyer will pay, most of which take a year or more to fix.</w:t>
            </w:r>
          </w:p>
        </w:tc>
      </w:tr>
    </w:tbl>
    <w:p w14:paraId="520DFBFB" w14:textId="77777777" w:rsidR="009C4C79" w:rsidRDefault="00000000">
      <w:pPr>
        <w:keepNext/>
        <w:keepLines/>
        <w:spacing w:before="520" w:after="90"/>
      </w:pPr>
      <w:r>
        <w:rPr>
          <w:noProof/>
        </w:rPr>
        <w:drawing>
          <wp:inline distT="0" distB="0" distL="0" distR="0" wp14:anchorId="72ADE562" wp14:editId="1445E83A">
            <wp:extent cx="142875" cy="85725"/>
            <wp:effectExtent l="0" t="0" r="0" b="0"/>
            <wp:docPr id="954301837" name="Picture 954301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42875" cy="85725"/>
                    </a:xfrm>
                    <a:prstGeom prst="rect">
                      <a:avLst/>
                    </a:prstGeom>
                  </pic:spPr>
                </pic:pic>
              </a:graphicData>
            </a:graphic>
          </wp:inline>
        </w:drawing>
      </w:r>
      <w:r>
        <w:rPr>
          <w:b/>
          <w:bCs/>
          <w:color w:val="66C010"/>
          <w:spacing w:val="70"/>
          <w:sz w:val="15"/>
          <w:szCs w:val="15"/>
        </w:rPr>
        <w:t xml:space="preserve">   SECTION 01</w:t>
      </w:r>
    </w:p>
    <w:p w14:paraId="7D88A006" w14:textId="77777777" w:rsidR="009C4C79" w:rsidRDefault="00000000">
      <w:pPr>
        <w:keepNext/>
        <w:keepLines/>
        <w:pBdr>
          <w:bottom w:val="single" w:sz="6" w:space="0" w:color="002145"/>
        </w:pBdr>
        <w:spacing w:after="170"/>
      </w:pPr>
      <w:r>
        <w:rPr>
          <w:rFonts w:ascii="Libre Baskerville" w:eastAsia="Libre Baskerville" w:hAnsi="Libre Baskerville" w:cs="Libre Baskerville"/>
          <w:color w:val="002145"/>
          <w:sz w:val="38"/>
          <w:szCs w:val="38"/>
        </w:rPr>
        <w:t>What business value really means</w:t>
      </w:r>
    </w:p>
    <w:p w14:paraId="7D701032" w14:textId="77777777" w:rsidR="009C4C79" w:rsidRDefault="00000000">
      <w:pPr>
        <w:spacing w:after="300" w:line="360" w:lineRule="auto"/>
      </w:pPr>
      <w:r>
        <w:rPr>
          <w:color w:val="6E747C"/>
          <w:sz w:val="23"/>
          <w:szCs w:val="23"/>
        </w:rPr>
        <w:t xml:space="preserve">Value is not a fixed property of your business. It is what a qualified buyer will pay, at a particular moment, under </w:t>
      </w:r>
      <w:proofErr w:type="gramStart"/>
      <w:r>
        <w:rPr>
          <w:color w:val="6E747C"/>
          <w:sz w:val="23"/>
          <w:szCs w:val="23"/>
        </w:rPr>
        <w:t>particular conditions</w:t>
      </w:r>
      <w:proofErr w:type="gramEnd"/>
      <w:r>
        <w:rPr>
          <w:color w:val="6E747C"/>
          <w:sz w:val="23"/>
          <w:szCs w:val="23"/>
        </w:rPr>
        <w:t>.</w:t>
      </w:r>
    </w:p>
    <w:p w14:paraId="4F2A3E55" w14:textId="77777777" w:rsidR="009C4C79" w:rsidRDefault="00000000">
      <w:pPr>
        <w:spacing w:after="200"/>
      </w:pPr>
      <w:r>
        <w:t>Two identical companies can be worth materially different amounts depending on who is buying, what financing costs, and how much risk the buyer perceives. For most privately held companies, value is driven less by historical performance alone than by three things:</w:t>
      </w:r>
    </w:p>
    <w:p w14:paraId="22A61993" w14:textId="77777777" w:rsidR="009C4C79" w:rsidRDefault="00000000">
      <w:pPr>
        <w:pStyle w:val="ListParagraph"/>
        <w:numPr>
          <w:ilvl w:val="0"/>
          <w:numId w:val="2"/>
        </w:numPr>
        <w:spacing w:after="110" w:line="320" w:lineRule="auto"/>
      </w:pPr>
      <w:r>
        <w:t>The predictability of future cash flow</w:t>
      </w:r>
    </w:p>
    <w:p w14:paraId="592FD5F2" w14:textId="77777777" w:rsidR="009C4C79" w:rsidRDefault="00000000">
      <w:pPr>
        <w:pStyle w:val="ListParagraph"/>
        <w:numPr>
          <w:ilvl w:val="0"/>
          <w:numId w:val="2"/>
        </w:numPr>
        <w:spacing w:after="110" w:line="320" w:lineRule="auto"/>
      </w:pPr>
      <w:r>
        <w:t>The transferability of the business to a new owner</w:t>
      </w:r>
    </w:p>
    <w:p w14:paraId="1B2F91F0" w14:textId="77777777" w:rsidR="009C4C79" w:rsidRDefault="00000000">
      <w:pPr>
        <w:pStyle w:val="ListParagraph"/>
        <w:numPr>
          <w:ilvl w:val="0"/>
          <w:numId w:val="2"/>
        </w:numPr>
        <w:spacing w:after="110" w:line="320" w:lineRule="auto"/>
      </w:pPr>
      <w:r>
        <w:t>Risk — both real and perceived</w:t>
      </w:r>
    </w:p>
    <w:p w14:paraId="0AFE62AE" w14:textId="77777777" w:rsidR="009C4C79" w:rsidRDefault="009C4C79">
      <w:pPr>
        <w:spacing w:after="80"/>
      </w:pPr>
    </w:p>
    <w:p w14:paraId="5C1C736B" w14:textId="77777777" w:rsidR="009C4C79" w:rsidRDefault="00000000">
      <w:pPr>
        <w:spacing w:before="260" w:after="300" w:line="380" w:lineRule="auto"/>
        <w:ind w:left="340" w:right="340"/>
      </w:pPr>
      <w:r>
        <w:rPr>
          <w:rFonts w:ascii="Libre Baskerville" w:eastAsia="Libre Baskerville" w:hAnsi="Libre Baskerville" w:cs="Libre Baskerville"/>
          <w:i/>
          <w:iCs/>
          <w:color w:val="002145"/>
          <w:sz w:val="25"/>
          <w:szCs w:val="25"/>
        </w:rPr>
        <w:lastRenderedPageBreak/>
        <w:t>Valuation sits at the intersection of financial performance, operational structure, market conditions, and buyer demand. Change any one of them and the number moves.</w:t>
      </w:r>
    </w:p>
    <w:p w14:paraId="4A84B147" w14:textId="77777777" w:rsidR="009C4C79" w:rsidRDefault="00000000">
      <w:pPr>
        <w:keepNext/>
        <w:keepLines/>
        <w:spacing w:before="520" w:after="90"/>
      </w:pPr>
      <w:r>
        <w:rPr>
          <w:noProof/>
        </w:rPr>
        <w:drawing>
          <wp:inline distT="0" distB="0" distL="0" distR="0" wp14:anchorId="58EAB217" wp14:editId="3EBEFEF6">
            <wp:extent cx="142875" cy="85725"/>
            <wp:effectExtent l="0" t="0" r="0" b="0"/>
            <wp:docPr id="35123150" name="Picture 35123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42875" cy="85725"/>
                    </a:xfrm>
                    <a:prstGeom prst="rect">
                      <a:avLst/>
                    </a:prstGeom>
                  </pic:spPr>
                </pic:pic>
              </a:graphicData>
            </a:graphic>
          </wp:inline>
        </w:drawing>
      </w:r>
      <w:r>
        <w:rPr>
          <w:b/>
          <w:bCs/>
          <w:color w:val="66C010"/>
          <w:spacing w:val="70"/>
          <w:sz w:val="15"/>
          <w:szCs w:val="15"/>
        </w:rPr>
        <w:t xml:space="preserve">   SECTION 02</w:t>
      </w:r>
    </w:p>
    <w:p w14:paraId="5F91CFBA" w14:textId="77777777" w:rsidR="009C4C79" w:rsidRDefault="00000000">
      <w:pPr>
        <w:keepNext/>
        <w:keepLines/>
        <w:pBdr>
          <w:bottom w:val="single" w:sz="6" w:space="0" w:color="002145"/>
        </w:pBdr>
        <w:spacing w:after="170"/>
      </w:pPr>
      <w:r>
        <w:rPr>
          <w:rFonts w:ascii="Libre Baskerville" w:eastAsia="Libre Baskerville" w:hAnsi="Libre Baskerville" w:cs="Libre Baskerville"/>
          <w:color w:val="002145"/>
          <w:sz w:val="38"/>
          <w:szCs w:val="38"/>
        </w:rPr>
        <w:t xml:space="preserve">How buyers </w:t>
      </w:r>
      <w:proofErr w:type="gramStart"/>
      <w:r>
        <w:rPr>
          <w:rFonts w:ascii="Libre Baskerville" w:eastAsia="Libre Baskerville" w:hAnsi="Libre Baskerville" w:cs="Libre Baskerville"/>
          <w:color w:val="002145"/>
          <w:sz w:val="38"/>
          <w:szCs w:val="38"/>
        </w:rPr>
        <w:t>actually think</w:t>
      </w:r>
      <w:proofErr w:type="gramEnd"/>
    </w:p>
    <w:p w14:paraId="77DAF1BA" w14:textId="77777777" w:rsidR="009C4C79" w:rsidRDefault="00000000">
      <w:pPr>
        <w:spacing w:after="300" w:line="360" w:lineRule="auto"/>
      </w:pPr>
      <w:r>
        <w:rPr>
          <w:color w:val="6E747C"/>
          <w:sz w:val="23"/>
          <w:szCs w:val="23"/>
        </w:rPr>
        <w:t>Buyers do not buy revenue. They buy cash flow, and the confidence that it will continue after you are gone.</w:t>
      </w:r>
    </w:p>
    <w:p w14:paraId="257860A3" w14:textId="77777777" w:rsidR="009C4C79" w:rsidRDefault="00000000">
      <w:pPr>
        <w:spacing w:after="200"/>
      </w:pPr>
      <w:r>
        <w:t>When a buyer evaluates a business, four questions sit underneath everything else they ask:</w:t>
      </w:r>
    </w:p>
    <w:p w14:paraId="16200EA1" w14:textId="77777777" w:rsidR="009C4C79" w:rsidRDefault="00000000">
      <w:pPr>
        <w:pStyle w:val="ListParagraph"/>
        <w:numPr>
          <w:ilvl w:val="0"/>
          <w:numId w:val="2"/>
        </w:numPr>
        <w:spacing w:after="110" w:line="320" w:lineRule="auto"/>
      </w:pPr>
      <w:r>
        <w:t>How much cash does this business reliably generate?</w:t>
      </w:r>
    </w:p>
    <w:p w14:paraId="66DDFFEA" w14:textId="77777777" w:rsidR="009C4C79" w:rsidRDefault="00000000">
      <w:pPr>
        <w:pStyle w:val="ListParagraph"/>
        <w:numPr>
          <w:ilvl w:val="0"/>
          <w:numId w:val="2"/>
        </w:numPr>
        <w:spacing w:after="110" w:line="320" w:lineRule="auto"/>
      </w:pPr>
      <w:r>
        <w:t>How risky is that cash flow?</w:t>
      </w:r>
    </w:p>
    <w:p w14:paraId="6DAFB482" w14:textId="77777777" w:rsidR="009C4C79" w:rsidRDefault="00000000">
      <w:pPr>
        <w:pStyle w:val="ListParagraph"/>
        <w:numPr>
          <w:ilvl w:val="0"/>
          <w:numId w:val="2"/>
        </w:numPr>
        <w:spacing w:after="110" w:line="320" w:lineRule="auto"/>
      </w:pPr>
      <w:r>
        <w:t>How dependent is it on the current owner?</w:t>
      </w:r>
    </w:p>
    <w:p w14:paraId="08ACCCC7" w14:textId="77777777" w:rsidR="009C4C79" w:rsidRDefault="00000000">
      <w:pPr>
        <w:pStyle w:val="ListParagraph"/>
        <w:numPr>
          <w:ilvl w:val="0"/>
          <w:numId w:val="2"/>
        </w:numPr>
        <w:spacing w:after="110" w:line="320" w:lineRule="auto"/>
      </w:pPr>
      <w:r>
        <w:t>How easily can it be scaled or improved?</w:t>
      </w:r>
    </w:p>
    <w:p w14:paraId="683890D5" w14:textId="77777777" w:rsidR="009C4C79" w:rsidRDefault="009C4C79">
      <w:pPr>
        <w:spacing w:after="40"/>
      </w:pPr>
    </w:p>
    <w:tbl>
      <w:tblPr>
        <w:tblW w:w="892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8928"/>
      </w:tblGrid>
      <w:tr w:rsidR="009C4C79" w14:paraId="45AA7E9F" w14:textId="77777777">
        <w:tblPrEx>
          <w:tblCellMar>
            <w:top w:w="0" w:type="dxa"/>
            <w:bottom w:w="0" w:type="dxa"/>
          </w:tblCellMar>
        </w:tblPrEx>
        <w:trPr>
          <w:cantSplit/>
        </w:trPr>
        <w:tc>
          <w:tcPr>
            <w:tcW w:w="8928" w:type="dxa"/>
            <w:tcBorders>
              <w:top w:val="none" w:sz="0" w:space="0" w:color="FFFFFF"/>
              <w:left w:val="single" w:sz="18" w:space="0" w:color="66C010"/>
              <w:bottom w:val="none" w:sz="0" w:space="0" w:color="FFFFFF"/>
              <w:right w:val="none" w:sz="0" w:space="0" w:color="FFFFFF"/>
            </w:tcBorders>
            <w:shd w:val="clear" w:color="auto" w:fill="EEECE3"/>
            <w:tcMar>
              <w:top w:w="240" w:type="dxa"/>
              <w:left w:w="330" w:type="dxa"/>
              <w:bottom w:w="240" w:type="dxa"/>
              <w:right w:w="330" w:type="dxa"/>
            </w:tcMar>
          </w:tcPr>
          <w:p w14:paraId="5D193177" w14:textId="77777777" w:rsidR="009C4C79" w:rsidRDefault="00000000">
            <w:pPr>
              <w:spacing w:after="90"/>
            </w:pPr>
            <w:r>
              <w:rPr>
                <w:b/>
                <w:bCs/>
                <w:color w:val="002145"/>
                <w:spacing w:val="60"/>
                <w:sz w:val="14"/>
                <w:szCs w:val="14"/>
              </w:rPr>
              <w:t>THE COUNTER-INTUITIVE PART</w:t>
            </w:r>
          </w:p>
          <w:p w14:paraId="2A8B8643" w14:textId="77777777" w:rsidR="009C4C79" w:rsidRDefault="00000000">
            <w:r>
              <w:t>A smaller business with strong systems, diversified customers, and reliable margins is often worth more than a larger one carrying concentrated risk and heavy owner dependency. Size helps. Structure helps more.</w:t>
            </w:r>
          </w:p>
        </w:tc>
      </w:tr>
    </w:tbl>
    <w:p w14:paraId="38C88223" w14:textId="77777777" w:rsidR="009C4C79" w:rsidRDefault="00000000">
      <w:pPr>
        <w:keepNext/>
        <w:keepLines/>
        <w:spacing w:before="520" w:after="90"/>
      </w:pPr>
      <w:r>
        <w:rPr>
          <w:noProof/>
        </w:rPr>
        <w:drawing>
          <wp:inline distT="0" distB="0" distL="0" distR="0" wp14:anchorId="4047FEB5" wp14:editId="25032957">
            <wp:extent cx="142875" cy="85725"/>
            <wp:effectExtent l="0" t="0" r="0" b="0"/>
            <wp:docPr id="458796554" name="Picture 458796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42875" cy="85725"/>
                    </a:xfrm>
                    <a:prstGeom prst="rect">
                      <a:avLst/>
                    </a:prstGeom>
                  </pic:spPr>
                </pic:pic>
              </a:graphicData>
            </a:graphic>
          </wp:inline>
        </w:drawing>
      </w:r>
      <w:r>
        <w:rPr>
          <w:b/>
          <w:bCs/>
          <w:color w:val="66C010"/>
          <w:spacing w:val="70"/>
          <w:sz w:val="15"/>
          <w:szCs w:val="15"/>
        </w:rPr>
        <w:t xml:space="preserve">   SECTION 03</w:t>
      </w:r>
    </w:p>
    <w:p w14:paraId="7F355386" w14:textId="77777777" w:rsidR="009C4C79" w:rsidRDefault="00000000">
      <w:pPr>
        <w:keepNext/>
        <w:keepLines/>
        <w:pBdr>
          <w:bottom w:val="single" w:sz="6" w:space="0" w:color="002145"/>
        </w:pBdr>
        <w:spacing w:after="170"/>
      </w:pPr>
      <w:r>
        <w:rPr>
          <w:rFonts w:ascii="Libre Baskerville" w:eastAsia="Libre Baskerville" w:hAnsi="Libre Baskerville" w:cs="Libre Baskerville"/>
          <w:color w:val="002145"/>
          <w:sz w:val="38"/>
          <w:szCs w:val="38"/>
        </w:rPr>
        <w:t>The foundation: Adjusted EBITDA and SDE</w:t>
      </w:r>
    </w:p>
    <w:p w14:paraId="3BD24194" w14:textId="77777777" w:rsidR="009C4C79" w:rsidRDefault="00000000">
      <w:pPr>
        <w:spacing w:after="300" w:line="360" w:lineRule="auto"/>
      </w:pPr>
      <w:r>
        <w:rPr>
          <w:color w:val="6E747C"/>
          <w:sz w:val="23"/>
          <w:szCs w:val="23"/>
        </w:rPr>
        <w:t>Nearly every valuation starts by establishing what the business truly earns.</w:t>
      </w:r>
    </w:p>
    <w:p w14:paraId="0C2A9506" w14:textId="77777777" w:rsidR="009C4C79" w:rsidRDefault="00000000">
      <w:pPr>
        <w:spacing w:after="200"/>
      </w:pPr>
      <w:r>
        <w:t>For most lower middle market transactions, that figure is either Seller's Discretionary Earnings (SDE) or Adjusted EBITDA.</w:t>
      </w:r>
    </w:p>
    <w:p w14:paraId="58A3BAE1" w14:textId="77777777" w:rsidR="009C4C79" w:rsidRDefault="00000000">
      <w:pPr>
        <w:keepNext/>
        <w:keepLines/>
        <w:spacing w:before="340" w:after="140"/>
      </w:pPr>
      <w:r>
        <w:rPr>
          <w:rFonts w:ascii="Libre Baskerville" w:eastAsia="Libre Baskerville" w:hAnsi="Libre Baskerville" w:cs="Libre Baskerville"/>
          <w:color w:val="002145"/>
          <w:sz w:val="25"/>
          <w:szCs w:val="25"/>
        </w:rPr>
        <w:lastRenderedPageBreak/>
        <w:t>Which one applies to you</w:t>
      </w:r>
    </w:p>
    <w:p w14:paraId="1C453051" w14:textId="77777777" w:rsidR="009C4C79" w:rsidRDefault="00000000">
      <w:pPr>
        <w:pStyle w:val="ListParagraph"/>
        <w:numPr>
          <w:ilvl w:val="0"/>
          <w:numId w:val="2"/>
        </w:numPr>
        <w:spacing w:after="110" w:line="320" w:lineRule="auto"/>
      </w:pPr>
      <w:r>
        <w:rPr>
          <w:b/>
          <w:bCs/>
          <w:color w:val="002145"/>
        </w:rPr>
        <w:t>SDE</w:t>
      </w:r>
      <w:r>
        <w:t xml:space="preserve"> is used for smaller, owner-operated businesses. It reflects the total economic benefit available to a single working owner — including that owner's salary.</w:t>
      </w:r>
    </w:p>
    <w:p w14:paraId="255B6074" w14:textId="77777777" w:rsidR="009C4C79" w:rsidRDefault="00000000">
      <w:pPr>
        <w:pStyle w:val="ListParagraph"/>
        <w:numPr>
          <w:ilvl w:val="0"/>
          <w:numId w:val="2"/>
        </w:numPr>
        <w:spacing w:after="110" w:line="320" w:lineRule="auto"/>
      </w:pPr>
      <w:r>
        <w:rPr>
          <w:b/>
          <w:bCs/>
          <w:color w:val="002145"/>
        </w:rPr>
        <w:t>Adjusted EBITDA</w:t>
      </w:r>
      <w:r>
        <w:t xml:space="preserve"> is used for businesses large enough to support professional management. It assumes a market-rate manager is paid to do the owner's job.</w:t>
      </w:r>
    </w:p>
    <w:p w14:paraId="3D90117D" w14:textId="77777777" w:rsidR="009C4C79" w:rsidRDefault="00000000">
      <w:pPr>
        <w:spacing w:after="200"/>
      </w:pPr>
      <w:r>
        <w:t>Both represent the true, ongoing earnings of the business before financing structure and taxes, normalized for ownership.</w:t>
      </w:r>
    </w:p>
    <w:p w14:paraId="5AFBCFF6" w14:textId="77777777" w:rsidR="009C4C79" w:rsidRDefault="00000000">
      <w:pPr>
        <w:keepNext/>
        <w:keepLines/>
        <w:spacing w:before="340" w:after="140"/>
      </w:pPr>
      <w:r>
        <w:rPr>
          <w:rFonts w:ascii="Libre Baskerville" w:eastAsia="Libre Baskerville" w:hAnsi="Libre Baskerville" w:cs="Libre Baskerville"/>
          <w:color w:val="002145"/>
          <w:sz w:val="25"/>
          <w:szCs w:val="25"/>
        </w:rPr>
        <w:t>Common normalization adjustments</w:t>
      </w:r>
    </w:p>
    <w:p w14:paraId="0965EB42" w14:textId="77777777" w:rsidR="009C4C79" w:rsidRDefault="00000000">
      <w:pPr>
        <w:pStyle w:val="ListParagraph"/>
        <w:numPr>
          <w:ilvl w:val="0"/>
          <w:numId w:val="2"/>
        </w:numPr>
        <w:spacing w:after="110" w:line="320" w:lineRule="auto"/>
      </w:pPr>
      <w:r>
        <w:t>Owner compensation above or below market rate</w:t>
      </w:r>
    </w:p>
    <w:p w14:paraId="25FF031E" w14:textId="77777777" w:rsidR="009C4C79" w:rsidRDefault="00000000">
      <w:pPr>
        <w:pStyle w:val="ListParagraph"/>
        <w:numPr>
          <w:ilvl w:val="0"/>
          <w:numId w:val="2"/>
        </w:numPr>
        <w:spacing w:after="110" w:line="320" w:lineRule="auto"/>
      </w:pPr>
      <w:r>
        <w:t>One-time or non-recurring expenses</w:t>
      </w:r>
    </w:p>
    <w:p w14:paraId="43275BF5" w14:textId="77777777" w:rsidR="009C4C79" w:rsidRDefault="00000000">
      <w:pPr>
        <w:pStyle w:val="ListParagraph"/>
        <w:numPr>
          <w:ilvl w:val="0"/>
          <w:numId w:val="2"/>
        </w:numPr>
        <w:spacing w:after="110" w:line="320" w:lineRule="auto"/>
      </w:pPr>
      <w:r>
        <w:t>Personal expenses run through the business</w:t>
      </w:r>
    </w:p>
    <w:p w14:paraId="57FF9979" w14:textId="77777777" w:rsidR="009C4C79" w:rsidRDefault="00000000">
      <w:pPr>
        <w:pStyle w:val="ListParagraph"/>
        <w:numPr>
          <w:ilvl w:val="0"/>
          <w:numId w:val="2"/>
        </w:numPr>
        <w:spacing w:after="110" w:line="320" w:lineRule="auto"/>
      </w:pPr>
      <w:r>
        <w:t>Extraordinary legal, professional, or restructuring costs</w:t>
      </w:r>
    </w:p>
    <w:p w14:paraId="03AF9E23" w14:textId="77777777" w:rsidR="009C4C79" w:rsidRDefault="009C4C79">
      <w:pPr>
        <w:spacing w:after="40"/>
      </w:pPr>
    </w:p>
    <w:tbl>
      <w:tblPr>
        <w:tblW w:w="892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8928"/>
      </w:tblGrid>
      <w:tr w:rsidR="009C4C79" w14:paraId="44EE33AE" w14:textId="77777777">
        <w:tblPrEx>
          <w:tblCellMar>
            <w:top w:w="0" w:type="dxa"/>
            <w:bottom w:w="0" w:type="dxa"/>
          </w:tblCellMar>
        </w:tblPrEx>
        <w:trPr>
          <w:cantSplit/>
        </w:trPr>
        <w:tc>
          <w:tcPr>
            <w:tcW w:w="8928" w:type="dxa"/>
            <w:tcBorders>
              <w:top w:val="none" w:sz="0" w:space="0" w:color="FFFFFF"/>
              <w:left w:val="single" w:sz="18" w:space="0" w:color="66C010"/>
              <w:bottom w:val="none" w:sz="0" w:space="0" w:color="FFFFFF"/>
              <w:right w:val="none" w:sz="0" w:space="0" w:color="FFFFFF"/>
            </w:tcBorders>
            <w:shd w:val="clear" w:color="auto" w:fill="EEECE3"/>
            <w:tcMar>
              <w:top w:w="240" w:type="dxa"/>
              <w:left w:w="330" w:type="dxa"/>
              <w:bottom w:w="240" w:type="dxa"/>
              <w:right w:w="330" w:type="dxa"/>
            </w:tcMar>
          </w:tcPr>
          <w:p w14:paraId="03525CC4" w14:textId="77777777" w:rsidR="009C4C79" w:rsidRDefault="00000000">
            <w:pPr>
              <w:spacing w:after="90"/>
            </w:pPr>
            <w:r>
              <w:rPr>
                <w:b/>
                <w:bCs/>
                <w:color w:val="002145"/>
                <w:spacing w:val="60"/>
                <w:sz w:val="14"/>
                <w:szCs w:val="14"/>
              </w:rPr>
              <w:t>WHY THIS MATTERS MORE THAN ALMOST ANYTHING ELSE</w:t>
            </w:r>
          </w:p>
          <w:p w14:paraId="09BD7996" w14:textId="77777777" w:rsidR="009C4C79" w:rsidRDefault="00000000">
            <w:r>
              <w:t>This is the number the multiple gets applied to. An unsupported add-back does not just cost you the add-back — it costs you the add-back times the multiple, and it costs you credibility at exactly the moment a buyer is deciding how much to trust your financials.</w:t>
            </w:r>
          </w:p>
        </w:tc>
      </w:tr>
    </w:tbl>
    <w:p w14:paraId="01416FEC" w14:textId="7C05861B" w:rsidR="009C4C79" w:rsidRDefault="00000000">
      <w:pPr>
        <w:keepNext/>
        <w:keepLines/>
        <w:spacing w:before="520" w:after="90"/>
      </w:pPr>
      <w:r>
        <w:rPr>
          <w:noProof/>
        </w:rPr>
        <w:drawing>
          <wp:inline distT="0" distB="0" distL="0" distR="0" wp14:anchorId="0555C24E" wp14:editId="460BD9B1">
            <wp:extent cx="142875" cy="85725"/>
            <wp:effectExtent l="0" t="0" r="0" b="0"/>
            <wp:docPr id="1009323358" name="Picture 1009323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42875" cy="85725"/>
                    </a:xfrm>
                    <a:prstGeom prst="rect">
                      <a:avLst/>
                    </a:prstGeom>
                  </pic:spPr>
                </pic:pic>
              </a:graphicData>
            </a:graphic>
          </wp:inline>
        </w:drawing>
      </w:r>
      <w:r>
        <w:rPr>
          <w:b/>
          <w:bCs/>
          <w:color w:val="66C010"/>
          <w:spacing w:val="70"/>
          <w:sz w:val="15"/>
          <w:szCs w:val="15"/>
        </w:rPr>
        <w:t xml:space="preserve">   SECTION 04</w:t>
      </w:r>
    </w:p>
    <w:p w14:paraId="466F737F" w14:textId="77777777" w:rsidR="009C4C79" w:rsidRDefault="00000000">
      <w:pPr>
        <w:keepNext/>
        <w:keepLines/>
        <w:pBdr>
          <w:bottom w:val="single" w:sz="6" w:space="0" w:color="002145"/>
        </w:pBdr>
        <w:spacing w:after="170"/>
      </w:pPr>
      <w:r>
        <w:rPr>
          <w:rFonts w:ascii="Libre Baskerville" w:eastAsia="Libre Baskerville" w:hAnsi="Libre Baskerville" w:cs="Libre Baskerville"/>
          <w:color w:val="002145"/>
          <w:sz w:val="38"/>
          <w:szCs w:val="38"/>
        </w:rPr>
        <w:t>How the market prices a business</w:t>
      </w:r>
    </w:p>
    <w:p w14:paraId="3CAEA2E9" w14:textId="77777777" w:rsidR="009C4C79" w:rsidRDefault="00000000">
      <w:pPr>
        <w:spacing w:after="300" w:line="360" w:lineRule="auto"/>
      </w:pPr>
      <w:r>
        <w:rPr>
          <w:color w:val="6E747C"/>
          <w:sz w:val="23"/>
          <w:szCs w:val="23"/>
        </w:rPr>
        <w:t>Three approaches exist. In practice, one of them does most of the work.</w:t>
      </w:r>
    </w:p>
    <w:tbl>
      <w:tblPr>
        <w:tblW w:w="8928" w:type="dxa"/>
        <w:tblBorders>
          <w:top w:val="single" w:sz="4" w:space="0" w:color="D9D9D9"/>
          <w:left w:val="none" w:sz="0" w:space="0" w:color="FFFFFF"/>
          <w:bottom w:val="single" w:sz="4" w:space="0" w:color="D9D9D9"/>
          <w:right w:val="none" w:sz="0" w:space="0" w:color="FFFFFF"/>
          <w:insideH w:val="single" w:sz="4" w:space="0" w:color="D9D9D9"/>
          <w:insideV w:val="single" w:sz="4" w:space="0" w:color="D9D9D9"/>
        </w:tblBorders>
        <w:tblCellMar>
          <w:left w:w="10" w:type="dxa"/>
          <w:right w:w="10" w:type="dxa"/>
        </w:tblCellMar>
        <w:tblLook w:val="04A0" w:firstRow="1" w:lastRow="0" w:firstColumn="1" w:lastColumn="0" w:noHBand="0" w:noVBand="1"/>
      </w:tblPr>
      <w:tblGrid>
        <w:gridCol w:w="2321"/>
        <w:gridCol w:w="3750"/>
        <w:gridCol w:w="2857"/>
      </w:tblGrid>
      <w:tr w:rsidR="009C4C79" w14:paraId="5CE0A2EF" w14:textId="77777777">
        <w:tblPrEx>
          <w:tblCellMar>
            <w:top w:w="0" w:type="dxa"/>
            <w:bottom w:w="0" w:type="dxa"/>
          </w:tblCellMar>
        </w:tblPrEx>
        <w:trPr>
          <w:tblHeader/>
        </w:trPr>
        <w:tc>
          <w:tcPr>
            <w:tcW w:w="2321" w:type="dxa"/>
            <w:tcBorders>
              <w:top w:val="none" w:sz="0" w:space="0" w:color="FFFFFF"/>
              <w:left w:val="none" w:sz="0" w:space="0" w:color="FFFFFF"/>
              <w:bottom w:val="none" w:sz="0" w:space="0" w:color="FFFFFF"/>
              <w:right w:val="none" w:sz="0" w:space="0" w:color="FFFFFF"/>
            </w:tcBorders>
            <w:shd w:val="clear" w:color="auto" w:fill="002145"/>
            <w:tcMar>
              <w:top w:w="150" w:type="dxa"/>
              <w:left w:w="200" w:type="dxa"/>
              <w:bottom w:w="150" w:type="dxa"/>
              <w:right w:w="200" w:type="dxa"/>
            </w:tcMar>
          </w:tcPr>
          <w:p w14:paraId="12AC866F" w14:textId="77777777" w:rsidR="009C4C79" w:rsidRDefault="00000000">
            <w:r>
              <w:rPr>
                <w:b/>
                <w:bCs/>
                <w:color w:val="FFFFFF"/>
                <w:spacing w:val="50"/>
                <w:sz w:val="13"/>
                <w:szCs w:val="13"/>
              </w:rPr>
              <w:lastRenderedPageBreak/>
              <w:t>APPROACH</w:t>
            </w:r>
          </w:p>
        </w:tc>
        <w:tc>
          <w:tcPr>
            <w:tcW w:w="3750" w:type="dxa"/>
            <w:tcBorders>
              <w:top w:val="none" w:sz="0" w:space="0" w:color="FFFFFF"/>
              <w:left w:val="none" w:sz="0" w:space="0" w:color="FFFFFF"/>
              <w:bottom w:val="none" w:sz="0" w:space="0" w:color="FFFFFF"/>
              <w:right w:val="none" w:sz="0" w:space="0" w:color="FFFFFF"/>
            </w:tcBorders>
            <w:shd w:val="clear" w:color="auto" w:fill="002145"/>
            <w:tcMar>
              <w:top w:w="150" w:type="dxa"/>
              <w:left w:w="200" w:type="dxa"/>
              <w:bottom w:w="150" w:type="dxa"/>
              <w:right w:w="200" w:type="dxa"/>
            </w:tcMar>
          </w:tcPr>
          <w:p w14:paraId="7FAE163B" w14:textId="77777777" w:rsidR="009C4C79" w:rsidRDefault="00000000">
            <w:r>
              <w:rPr>
                <w:b/>
                <w:bCs/>
                <w:color w:val="FFFFFF"/>
                <w:spacing w:val="50"/>
                <w:sz w:val="13"/>
                <w:szCs w:val="13"/>
              </w:rPr>
              <w:t>HOW IT WORKS</w:t>
            </w:r>
          </w:p>
        </w:tc>
        <w:tc>
          <w:tcPr>
            <w:tcW w:w="2857" w:type="dxa"/>
            <w:tcBorders>
              <w:top w:val="none" w:sz="0" w:space="0" w:color="FFFFFF"/>
              <w:left w:val="none" w:sz="0" w:space="0" w:color="FFFFFF"/>
              <w:bottom w:val="none" w:sz="0" w:space="0" w:color="FFFFFF"/>
              <w:right w:val="none" w:sz="0" w:space="0" w:color="FFFFFF"/>
            </w:tcBorders>
            <w:shd w:val="clear" w:color="auto" w:fill="002145"/>
            <w:tcMar>
              <w:top w:w="150" w:type="dxa"/>
              <w:left w:w="200" w:type="dxa"/>
              <w:bottom w:w="150" w:type="dxa"/>
              <w:right w:w="200" w:type="dxa"/>
            </w:tcMar>
          </w:tcPr>
          <w:p w14:paraId="5497C154" w14:textId="77777777" w:rsidR="009C4C79" w:rsidRDefault="00000000">
            <w:r>
              <w:rPr>
                <w:b/>
                <w:bCs/>
                <w:color w:val="FFFFFF"/>
                <w:spacing w:val="50"/>
                <w:sz w:val="13"/>
                <w:szCs w:val="13"/>
              </w:rPr>
              <w:t>WHEN IT APPLIES</w:t>
            </w:r>
          </w:p>
        </w:tc>
      </w:tr>
      <w:tr w:rsidR="009C4C79" w14:paraId="22599D44" w14:textId="77777777">
        <w:tblPrEx>
          <w:tblCellMar>
            <w:top w:w="0" w:type="dxa"/>
            <w:bottom w:w="0" w:type="dxa"/>
          </w:tblCellMar>
        </w:tblPrEx>
        <w:trPr>
          <w:cantSplit/>
        </w:trPr>
        <w:tc>
          <w:tcPr>
            <w:tcW w:w="2321" w:type="dxa"/>
            <w:tcBorders>
              <w:top w:val="none" w:sz="0" w:space="0" w:color="FFFFFF"/>
              <w:left w:val="none" w:sz="0" w:space="0" w:color="FFFFFF"/>
              <w:bottom w:val="none" w:sz="0" w:space="0" w:color="FFFFFF"/>
              <w:right w:val="none" w:sz="0" w:space="0" w:color="FFFFFF"/>
            </w:tcBorders>
            <w:shd w:val="clear" w:color="auto" w:fill="FFFFFF"/>
            <w:tcMar>
              <w:top w:w="190" w:type="dxa"/>
              <w:left w:w="200" w:type="dxa"/>
              <w:bottom w:w="190" w:type="dxa"/>
              <w:right w:w="180" w:type="dxa"/>
            </w:tcMar>
          </w:tcPr>
          <w:p w14:paraId="30D7887C" w14:textId="77777777" w:rsidR="009C4C79" w:rsidRDefault="00000000">
            <w:pPr>
              <w:spacing w:line="290" w:lineRule="auto"/>
            </w:pPr>
            <w:r>
              <w:rPr>
                <w:rFonts w:ascii="Libre Baskerville" w:eastAsia="Libre Baskerville" w:hAnsi="Libre Baskerville" w:cs="Libre Baskerville"/>
                <w:color w:val="002145"/>
              </w:rPr>
              <w:t>Market approach</w:t>
            </w:r>
          </w:p>
        </w:tc>
        <w:tc>
          <w:tcPr>
            <w:tcW w:w="3750" w:type="dxa"/>
            <w:tcBorders>
              <w:top w:val="none" w:sz="0" w:space="0" w:color="FFFFFF"/>
              <w:left w:val="none" w:sz="0" w:space="0" w:color="FFFFFF"/>
              <w:bottom w:val="none" w:sz="0" w:space="0" w:color="FFFFFF"/>
              <w:right w:val="none" w:sz="0" w:space="0" w:color="FFFFFF"/>
            </w:tcBorders>
            <w:shd w:val="clear" w:color="auto" w:fill="FFFFFF"/>
            <w:tcMar>
              <w:top w:w="190" w:type="dxa"/>
              <w:left w:w="180" w:type="dxa"/>
              <w:bottom w:w="190" w:type="dxa"/>
              <w:right w:w="180" w:type="dxa"/>
            </w:tcMar>
          </w:tcPr>
          <w:p w14:paraId="579BD8D5" w14:textId="77777777" w:rsidR="009C4C79" w:rsidRDefault="00000000">
            <w:pPr>
              <w:spacing w:line="290" w:lineRule="auto"/>
            </w:pPr>
            <w:r>
              <w:rPr>
                <w:sz w:val="19"/>
                <w:szCs w:val="19"/>
              </w:rPr>
              <w:t>A multiple is applied to Adjusted EBITDA or SDE, drawn from comparable transactions, industry norms, and deal size.</w:t>
            </w:r>
          </w:p>
        </w:tc>
        <w:tc>
          <w:tcPr>
            <w:tcW w:w="2857" w:type="dxa"/>
            <w:tcBorders>
              <w:top w:val="none" w:sz="0" w:space="0" w:color="FFFFFF"/>
              <w:left w:val="none" w:sz="0" w:space="0" w:color="FFFFFF"/>
              <w:bottom w:val="none" w:sz="0" w:space="0" w:color="FFFFFF"/>
              <w:right w:val="none" w:sz="0" w:space="0" w:color="FFFFFF"/>
            </w:tcBorders>
            <w:shd w:val="clear" w:color="auto" w:fill="FFFFFF"/>
            <w:tcMar>
              <w:top w:w="190" w:type="dxa"/>
              <w:left w:w="180" w:type="dxa"/>
              <w:bottom w:w="190" w:type="dxa"/>
              <w:right w:w="200" w:type="dxa"/>
            </w:tcMar>
          </w:tcPr>
          <w:p w14:paraId="10DA50C7" w14:textId="77777777" w:rsidR="009C4C79" w:rsidRDefault="00000000">
            <w:pPr>
              <w:spacing w:line="290" w:lineRule="auto"/>
            </w:pPr>
            <w:r>
              <w:rPr>
                <w:color w:val="6E747C"/>
                <w:sz w:val="19"/>
                <w:szCs w:val="19"/>
              </w:rPr>
              <w:t>The default for privately held businesses. Most deals are priced this way.</w:t>
            </w:r>
          </w:p>
        </w:tc>
      </w:tr>
      <w:tr w:rsidR="009C4C79" w14:paraId="60ADF86E" w14:textId="77777777">
        <w:tblPrEx>
          <w:tblCellMar>
            <w:top w:w="0" w:type="dxa"/>
            <w:bottom w:w="0" w:type="dxa"/>
          </w:tblCellMar>
        </w:tblPrEx>
        <w:trPr>
          <w:cantSplit/>
        </w:trPr>
        <w:tc>
          <w:tcPr>
            <w:tcW w:w="2321" w:type="dxa"/>
            <w:tcBorders>
              <w:top w:val="none" w:sz="0" w:space="0" w:color="FFFFFF"/>
              <w:left w:val="none" w:sz="0" w:space="0" w:color="FFFFFF"/>
              <w:bottom w:val="none" w:sz="0" w:space="0" w:color="FFFFFF"/>
              <w:right w:val="none" w:sz="0" w:space="0" w:color="FFFFFF"/>
            </w:tcBorders>
            <w:shd w:val="clear" w:color="auto" w:fill="F4F3EE"/>
            <w:tcMar>
              <w:top w:w="190" w:type="dxa"/>
              <w:left w:w="200" w:type="dxa"/>
              <w:bottom w:w="190" w:type="dxa"/>
              <w:right w:w="180" w:type="dxa"/>
            </w:tcMar>
          </w:tcPr>
          <w:p w14:paraId="62F2EB4E" w14:textId="77777777" w:rsidR="009C4C79" w:rsidRDefault="00000000">
            <w:pPr>
              <w:spacing w:line="290" w:lineRule="auto"/>
            </w:pPr>
            <w:r>
              <w:rPr>
                <w:rFonts w:ascii="Libre Baskerville" w:eastAsia="Libre Baskerville" w:hAnsi="Libre Baskerville" w:cs="Libre Baskerville"/>
                <w:color w:val="002145"/>
              </w:rPr>
              <w:t>Income approach</w:t>
            </w:r>
          </w:p>
        </w:tc>
        <w:tc>
          <w:tcPr>
            <w:tcW w:w="3750" w:type="dxa"/>
            <w:tcBorders>
              <w:top w:val="none" w:sz="0" w:space="0" w:color="FFFFFF"/>
              <w:left w:val="none" w:sz="0" w:space="0" w:color="FFFFFF"/>
              <w:bottom w:val="none" w:sz="0" w:space="0" w:color="FFFFFF"/>
              <w:right w:val="none" w:sz="0" w:space="0" w:color="FFFFFF"/>
            </w:tcBorders>
            <w:shd w:val="clear" w:color="auto" w:fill="F4F3EE"/>
            <w:tcMar>
              <w:top w:w="190" w:type="dxa"/>
              <w:left w:w="180" w:type="dxa"/>
              <w:bottom w:w="190" w:type="dxa"/>
              <w:right w:w="180" w:type="dxa"/>
            </w:tcMar>
          </w:tcPr>
          <w:p w14:paraId="1C39F29E" w14:textId="77777777" w:rsidR="009C4C79" w:rsidRDefault="00000000">
            <w:pPr>
              <w:spacing w:line="290" w:lineRule="auto"/>
            </w:pPr>
            <w:r>
              <w:rPr>
                <w:sz w:val="19"/>
                <w:szCs w:val="19"/>
              </w:rPr>
              <w:t>The present value of expected future cash flows, usually through a discounted cash flow analysis.</w:t>
            </w:r>
          </w:p>
        </w:tc>
        <w:tc>
          <w:tcPr>
            <w:tcW w:w="2857" w:type="dxa"/>
            <w:tcBorders>
              <w:top w:val="none" w:sz="0" w:space="0" w:color="FFFFFF"/>
              <w:left w:val="none" w:sz="0" w:space="0" w:color="FFFFFF"/>
              <w:bottom w:val="none" w:sz="0" w:space="0" w:color="FFFFFF"/>
              <w:right w:val="none" w:sz="0" w:space="0" w:color="FFFFFF"/>
            </w:tcBorders>
            <w:shd w:val="clear" w:color="auto" w:fill="F4F3EE"/>
            <w:tcMar>
              <w:top w:w="190" w:type="dxa"/>
              <w:left w:w="180" w:type="dxa"/>
              <w:bottom w:w="190" w:type="dxa"/>
              <w:right w:w="200" w:type="dxa"/>
            </w:tcMar>
          </w:tcPr>
          <w:p w14:paraId="761D64B9" w14:textId="77777777" w:rsidR="009C4C79" w:rsidRDefault="00000000">
            <w:pPr>
              <w:spacing w:line="290" w:lineRule="auto"/>
            </w:pPr>
            <w:r>
              <w:rPr>
                <w:color w:val="6E747C"/>
                <w:sz w:val="19"/>
                <w:szCs w:val="19"/>
              </w:rPr>
              <w:t>Used selectively — when cash flows are highly predictable, or comparables are thin.</w:t>
            </w:r>
          </w:p>
        </w:tc>
      </w:tr>
      <w:tr w:rsidR="009C4C79" w14:paraId="12D3414F" w14:textId="77777777">
        <w:tblPrEx>
          <w:tblCellMar>
            <w:top w:w="0" w:type="dxa"/>
            <w:bottom w:w="0" w:type="dxa"/>
          </w:tblCellMar>
        </w:tblPrEx>
        <w:trPr>
          <w:cantSplit/>
        </w:trPr>
        <w:tc>
          <w:tcPr>
            <w:tcW w:w="2321" w:type="dxa"/>
            <w:tcBorders>
              <w:top w:val="none" w:sz="0" w:space="0" w:color="FFFFFF"/>
              <w:left w:val="none" w:sz="0" w:space="0" w:color="FFFFFF"/>
              <w:bottom w:val="none" w:sz="0" w:space="0" w:color="FFFFFF"/>
              <w:right w:val="none" w:sz="0" w:space="0" w:color="FFFFFF"/>
            </w:tcBorders>
            <w:shd w:val="clear" w:color="auto" w:fill="FFFFFF"/>
            <w:tcMar>
              <w:top w:w="190" w:type="dxa"/>
              <w:left w:w="200" w:type="dxa"/>
              <w:bottom w:w="190" w:type="dxa"/>
              <w:right w:w="180" w:type="dxa"/>
            </w:tcMar>
          </w:tcPr>
          <w:p w14:paraId="0D206B1B" w14:textId="77777777" w:rsidR="009C4C79" w:rsidRDefault="00000000">
            <w:pPr>
              <w:spacing w:line="290" w:lineRule="auto"/>
            </w:pPr>
            <w:r>
              <w:rPr>
                <w:rFonts w:ascii="Libre Baskerville" w:eastAsia="Libre Baskerville" w:hAnsi="Libre Baskerville" w:cs="Libre Baskerville"/>
                <w:color w:val="002145"/>
              </w:rPr>
              <w:t>Asset-based approach</w:t>
            </w:r>
          </w:p>
        </w:tc>
        <w:tc>
          <w:tcPr>
            <w:tcW w:w="3750" w:type="dxa"/>
            <w:tcBorders>
              <w:top w:val="none" w:sz="0" w:space="0" w:color="FFFFFF"/>
              <w:left w:val="none" w:sz="0" w:space="0" w:color="FFFFFF"/>
              <w:bottom w:val="none" w:sz="0" w:space="0" w:color="FFFFFF"/>
              <w:right w:val="none" w:sz="0" w:space="0" w:color="FFFFFF"/>
            </w:tcBorders>
            <w:shd w:val="clear" w:color="auto" w:fill="FFFFFF"/>
            <w:tcMar>
              <w:top w:w="190" w:type="dxa"/>
              <w:left w:w="180" w:type="dxa"/>
              <w:bottom w:w="190" w:type="dxa"/>
              <w:right w:w="180" w:type="dxa"/>
            </w:tcMar>
          </w:tcPr>
          <w:p w14:paraId="2FB9A7CD" w14:textId="77777777" w:rsidR="009C4C79" w:rsidRDefault="00000000">
            <w:pPr>
              <w:spacing w:line="290" w:lineRule="auto"/>
            </w:pPr>
            <w:r>
              <w:rPr>
                <w:sz w:val="19"/>
                <w:szCs w:val="19"/>
              </w:rPr>
              <w:t>Value is built from the net value of the assets rather than from earnings.</w:t>
            </w:r>
          </w:p>
        </w:tc>
        <w:tc>
          <w:tcPr>
            <w:tcW w:w="2857" w:type="dxa"/>
            <w:tcBorders>
              <w:top w:val="none" w:sz="0" w:space="0" w:color="FFFFFF"/>
              <w:left w:val="none" w:sz="0" w:space="0" w:color="FFFFFF"/>
              <w:bottom w:val="none" w:sz="0" w:space="0" w:color="FFFFFF"/>
              <w:right w:val="none" w:sz="0" w:space="0" w:color="FFFFFF"/>
            </w:tcBorders>
            <w:shd w:val="clear" w:color="auto" w:fill="FFFFFF"/>
            <w:tcMar>
              <w:top w:w="190" w:type="dxa"/>
              <w:left w:w="180" w:type="dxa"/>
              <w:bottom w:w="190" w:type="dxa"/>
              <w:right w:w="200" w:type="dxa"/>
            </w:tcMar>
          </w:tcPr>
          <w:p w14:paraId="006737C5" w14:textId="77777777" w:rsidR="009C4C79" w:rsidRDefault="00000000">
            <w:pPr>
              <w:spacing w:line="290" w:lineRule="auto"/>
            </w:pPr>
            <w:r>
              <w:rPr>
                <w:color w:val="6E747C"/>
                <w:sz w:val="19"/>
                <w:szCs w:val="19"/>
              </w:rPr>
              <w:t>Asset-heavy or distressed businesses, and as a downside floor.</w:t>
            </w:r>
          </w:p>
        </w:tc>
      </w:tr>
    </w:tbl>
    <w:p w14:paraId="4D7D24C7" w14:textId="77777777" w:rsidR="009C4C79" w:rsidRDefault="009C4C79">
      <w:pPr>
        <w:spacing w:after="200"/>
      </w:pPr>
    </w:p>
    <w:p w14:paraId="54F8CD86" w14:textId="77777777" w:rsidR="009C4C79" w:rsidRDefault="00000000">
      <w:pPr>
        <w:keepNext/>
        <w:keepLines/>
        <w:spacing w:before="280" w:after="120"/>
      </w:pPr>
      <w:r>
        <w:rPr>
          <w:b/>
          <w:bCs/>
          <w:color w:val="002145"/>
          <w:spacing w:val="50"/>
          <w:sz w:val="16"/>
          <w:szCs w:val="16"/>
        </w:rPr>
        <w:t>A WORKED EXAMPLE</w:t>
      </w:r>
    </w:p>
    <w:p w14:paraId="67F17AEC" w14:textId="77777777" w:rsidR="009C4C79" w:rsidRDefault="00000000">
      <w:pPr>
        <w:spacing w:after="200"/>
      </w:pPr>
      <w:r>
        <w:t>Under the market approach, the arithmetic is deliberately simple. The judgment lives entirely in the two inputs.</w:t>
      </w:r>
    </w:p>
    <w:tbl>
      <w:tblPr>
        <w:tblW w:w="892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4910"/>
        <w:gridCol w:w="4018"/>
      </w:tblGrid>
      <w:tr w:rsidR="009C4C79" w14:paraId="5B984DB7" w14:textId="77777777">
        <w:tblPrEx>
          <w:tblCellMar>
            <w:top w:w="0" w:type="dxa"/>
            <w:bottom w:w="0" w:type="dxa"/>
          </w:tblCellMar>
        </w:tblPrEx>
        <w:trPr>
          <w:cantSplit/>
        </w:trPr>
        <w:tc>
          <w:tcPr>
            <w:tcW w:w="4910" w:type="dxa"/>
            <w:tcBorders>
              <w:top w:val="none" w:sz="0" w:space="0" w:color="FFFFFF"/>
              <w:left w:val="none" w:sz="0" w:space="0" w:color="FFFFFF"/>
              <w:bottom w:val="none" w:sz="0" w:space="0" w:color="FFFFFF"/>
              <w:right w:val="none" w:sz="0" w:space="0" w:color="FFFFFF"/>
            </w:tcBorders>
            <w:shd w:val="clear" w:color="auto" w:fill="002145"/>
            <w:tcMar>
              <w:top w:w="170" w:type="dxa"/>
              <w:left w:w="340" w:type="dxa"/>
              <w:bottom w:w="170" w:type="dxa"/>
              <w:right w:w="200" w:type="dxa"/>
            </w:tcMar>
            <w:vAlign w:val="center"/>
          </w:tcPr>
          <w:p w14:paraId="3605A97E" w14:textId="77777777" w:rsidR="009C4C79" w:rsidRDefault="00000000">
            <w:r>
              <w:rPr>
                <w:b/>
                <w:bCs/>
                <w:color w:val="9FB3C8"/>
                <w:spacing w:val="50"/>
                <w:sz w:val="14"/>
                <w:szCs w:val="14"/>
              </w:rPr>
              <w:t>ADJUSTED EBITDA</w:t>
            </w:r>
          </w:p>
        </w:tc>
        <w:tc>
          <w:tcPr>
            <w:tcW w:w="4018" w:type="dxa"/>
            <w:tcBorders>
              <w:top w:val="none" w:sz="0" w:space="0" w:color="FFFFFF"/>
              <w:left w:val="none" w:sz="0" w:space="0" w:color="FFFFFF"/>
              <w:bottom w:val="none" w:sz="0" w:space="0" w:color="FFFFFF"/>
              <w:right w:val="none" w:sz="0" w:space="0" w:color="FFFFFF"/>
            </w:tcBorders>
            <w:shd w:val="clear" w:color="auto" w:fill="002145"/>
            <w:tcMar>
              <w:top w:w="170" w:type="dxa"/>
              <w:left w:w="200" w:type="dxa"/>
              <w:bottom w:w="170" w:type="dxa"/>
              <w:right w:w="340" w:type="dxa"/>
            </w:tcMar>
            <w:vAlign w:val="center"/>
          </w:tcPr>
          <w:p w14:paraId="124426FC" w14:textId="77777777" w:rsidR="009C4C79" w:rsidRDefault="00000000">
            <w:pPr>
              <w:jc w:val="right"/>
            </w:pPr>
            <w:r>
              <w:rPr>
                <w:rFonts w:ascii="Libre Baskerville" w:eastAsia="Libre Baskerville" w:hAnsi="Libre Baskerville" w:cs="Libre Baskerville"/>
                <w:color w:val="FFFFFF"/>
                <w:sz w:val="26"/>
                <w:szCs w:val="26"/>
              </w:rPr>
              <w:t>$1,000,000</w:t>
            </w:r>
          </w:p>
        </w:tc>
      </w:tr>
      <w:tr w:rsidR="009C4C79" w14:paraId="40999C50" w14:textId="77777777">
        <w:tblPrEx>
          <w:tblCellMar>
            <w:top w:w="0" w:type="dxa"/>
            <w:bottom w:w="0" w:type="dxa"/>
          </w:tblCellMar>
        </w:tblPrEx>
        <w:trPr>
          <w:cantSplit/>
        </w:trPr>
        <w:tc>
          <w:tcPr>
            <w:tcW w:w="4910" w:type="dxa"/>
            <w:tcBorders>
              <w:top w:val="none" w:sz="0" w:space="0" w:color="FFFFFF"/>
              <w:left w:val="none" w:sz="0" w:space="0" w:color="FFFFFF"/>
              <w:bottom w:val="none" w:sz="0" w:space="0" w:color="FFFFFF"/>
              <w:right w:val="none" w:sz="0" w:space="0" w:color="FFFFFF"/>
            </w:tcBorders>
            <w:shd w:val="clear" w:color="auto" w:fill="002145"/>
            <w:tcMar>
              <w:top w:w="170" w:type="dxa"/>
              <w:left w:w="340" w:type="dxa"/>
              <w:bottom w:w="170" w:type="dxa"/>
              <w:right w:w="200" w:type="dxa"/>
            </w:tcMar>
            <w:vAlign w:val="center"/>
          </w:tcPr>
          <w:p w14:paraId="7CEA39D9" w14:textId="77777777" w:rsidR="009C4C79" w:rsidRDefault="00000000">
            <w:r>
              <w:rPr>
                <w:b/>
                <w:bCs/>
                <w:color w:val="9FB3C8"/>
                <w:spacing w:val="50"/>
                <w:sz w:val="14"/>
                <w:szCs w:val="14"/>
              </w:rPr>
              <w:t>MARKET MULTIPLE</w:t>
            </w:r>
          </w:p>
        </w:tc>
        <w:tc>
          <w:tcPr>
            <w:tcW w:w="4018" w:type="dxa"/>
            <w:tcBorders>
              <w:top w:val="none" w:sz="0" w:space="0" w:color="FFFFFF"/>
              <w:left w:val="none" w:sz="0" w:space="0" w:color="FFFFFF"/>
              <w:bottom w:val="none" w:sz="0" w:space="0" w:color="FFFFFF"/>
              <w:right w:val="none" w:sz="0" w:space="0" w:color="FFFFFF"/>
            </w:tcBorders>
            <w:shd w:val="clear" w:color="auto" w:fill="002145"/>
            <w:tcMar>
              <w:top w:w="170" w:type="dxa"/>
              <w:left w:w="200" w:type="dxa"/>
              <w:bottom w:w="170" w:type="dxa"/>
              <w:right w:w="340" w:type="dxa"/>
            </w:tcMar>
            <w:vAlign w:val="center"/>
          </w:tcPr>
          <w:p w14:paraId="40BA27E7" w14:textId="77777777" w:rsidR="009C4C79" w:rsidRDefault="00000000">
            <w:pPr>
              <w:jc w:val="right"/>
            </w:pPr>
            <w:r>
              <w:rPr>
                <w:rFonts w:ascii="Libre Baskerville" w:eastAsia="Libre Baskerville" w:hAnsi="Libre Baskerville" w:cs="Libre Baskerville"/>
                <w:color w:val="FFFFFF"/>
                <w:sz w:val="26"/>
                <w:szCs w:val="26"/>
              </w:rPr>
              <w:t>4.5×</w:t>
            </w:r>
          </w:p>
        </w:tc>
      </w:tr>
      <w:tr w:rsidR="009C4C79" w14:paraId="429807F4" w14:textId="77777777">
        <w:tblPrEx>
          <w:tblCellMar>
            <w:top w:w="0" w:type="dxa"/>
            <w:bottom w:w="0" w:type="dxa"/>
          </w:tblCellMar>
        </w:tblPrEx>
        <w:trPr>
          <w:cantSplit/>
        </w:trPr>
        <w:tc>
          <w:tcPr>
            <w:tcW w:w="4910" w:type="dxa"/>
            <w:tcBorders>
              <w:top w:val="single" w:sz="16" w:space="0" w:color="66C010"/>
              <w:left w:val="none" w:sz="0" w:space="0" w:color="FFFFFF"/>
              <w:bottom w:val="none" w:sz="0" w:space="0" w:color="FFFFFF"/>
              <w:right w:val="none" w:sz="0" w:space="0" w:color="FFFFFF"/>
            </w:tcBorders>
            <w:shd w:val="clear" w:color="auto" w:fill="002145"/>
            <w:tcMar>
              <w:top w:w="230" w:type="dxa"/>
              <w:left w:w="340" w:type="dxa"/>
              <w:bottom w:w="230" w:type="dxa"/>
              <w:right w:w="200" w:type="dxa"/>
            </w:tcMar>
            <w:vAlign w:val="center"/>
          </w:tcPr>
          <w:p w14:paraId="600E8945" w14:textId="77777777" w:rsidR="009C4C79" w:rsidRDefault="00000000">
            <w:r>
              <w:rPr>
                <w:b/>
                <w:bCs/>
                <w:color w:val="66C010"/>
                <w:spacing w:val="50"/>
                <w:sz w:val="14"/>
                <w:szCs w:val="14"/>
              </w:rPr>
              <w:t>ENTERPRISE VALUE</w:t>
            </w:r>
          </w:p>
        </w:tc>
        <w:tc>
          <w:tcPr>
            <w:tcW w:w="4018" w:type="dxa"/>
            <w:tcBorders>
              <w:top w:val="single" w:sz="16" w:space="0" w:color="66C010"/>
              <w:left w:val="none" w:sz="0" w:space="0" w:color="FFFFFF"/>
              <w:bottom w:val="none" w:sz="0" w:space="0" w:color="FFFFFF"/>
              <w:right w:val="none" w:sz="0" w:space="0" w:color="FFFFFF"/>
            </w:tcBorders>
            <w:shd w:val="clear" w:color="auto" w:fill="002145"/>
            <w:tcMar>
              <w:top w:w="230" w:type="dxa"/>
              <w:left w:w="200" w:type="dxa"/>
              <w:bottom w:w="230" w:type="dxa"/>
              <w:right w:w="340" w:type="dxa"/>
            </w:tcMar>
            <w:vAlign w:val="center"/>
          </w:tcPr>
          <w:p w14:paraId="28B4FE99" w14:textId="77777777" w:rsidR="009C4C79" w:rsidRDefault="00000000">
            <w:pPr>
              <w:jc w:val="right"/>
            </w:pPr>
            <w:r>
              <w:rPr>
                <w:rFonts w:ascii="Libre Baskerville" w:eastAsia="Libre Baskerville" w:hAnsi="Libre Baskerville" w:cs="Libre Baskerville"/>
                <w:color w:val="FFFFFF"/>
                <w:sz w:val="32"/>
                <w:szCs w:val="32"/>
              </w:rPr>
              <w:t>$4,500,000</w:t>
            </w:r>
          </w:p>
        </w:tc>
      </w:tr>
    </w:tbl>
    <w:p w14:paraId="5D75E358" w14:textId="77777777" w:rsidR="009C4C79" w:rsidRDefault="009C4C79">
      <w:pPr>
        <w:spacing w:after="160"/>
      </w:pPr>
    </w:p>
    <w:p w14:paraId="0E9FA0A8" w14:textId="77777777" w:rsidR="009C4C79" w:rsidRDefault="00000000">
      <w:r>
        <w:rPr>
          <w:i/>
          <w:iCs/>
          <w:color w:val="6E747C"/>
          <w:sz w:val="17"/>
          <w:szCs w:val="17"/>
        </w:rPr>
        <w:t>Multiples vary widely by industry, size, and deal structure. Figures shown are illustrative, not a benchmark for any specific business.</w:t>
      </w:r>
    </w:p>
    <w:p w14:paraId="1CE2FFE9" w14:textId="77777777" w:rsidR="009C4C79" w:rsidRDefault="00000000">
      <w:pPr>
        <w:keepNext/>
        <w:keepLines/>
        <w:spacing w:before="520" w:after="90"/>
      </w:pPr>
      <w:r>
        <w:rPr>
          <w:noProof/>
        </w:rPr>
        <w:lastRenderedPageBreak/>
        <w:drawing>
          <wp:inline distT="0" distB="0" distL="0" distR="0" wp14:anchorId="4FAB2D59" wp14:editId="74F78532">
            <wp:extent cx="142875" cy="85725"/>
            <wp:effectExtent l="0" t="0" r="0" b="0"/>
            <wp:docPr id="392713694" name="Picture 3927136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42875" cy="85725"/>
                    </a:xfrm>
                    <a:prstGeom prst="rect">
                      <a:avLst/>
                    </a:prstGeom>
                  </pic:spPr>
                </pic:pic>
              </a:graphicData>
            </a:graphic>
          </wp:inline>
        </w:drawing>
      </w:r>
      <w:r>
        <w:rPr>
          <w:b/>
          <w:bCs/>
          <w:color w:val="66C010"/>
          <w:spacing w:val="70"/>
          <w:sz w:val="15"/>
          <w:szCs w:val="15"/>
        </w:rPr>
        <w:t xml:space="preserve">   SECTION 05</w:t>
      </w:r>
    </w:p>
    <w:p w14:paraId="4B804DEF" w14:textId="77777777" w:rsidR="009C4C79" w:rsidRDefault="00000000">
      <w:pPr>
        <w:keepNext/>
        <w:keepLines/>
        <w:pBdr>
          <w:bottom w:val="single" w:sz="6" w:space="0" w:color="002145"/>
        </w:pBdr>
        <w:spacing w:after="170"/>
      </w:pPr>
      <w:r>
        <w:rPr>
          <w:rFonts w:ascii="Libre Baskerville" w:eastAsia="Libre Baskerville" w:hAnsi="Libre Baskerville" w:cs="Libre Baskerville"/>
          <w:color w:val="002145"/>
          <w:sz w:val="38"/>
          <w:szCs w:val="38"/>
        </w:rPr>
        <w:t>What moves the number</w:t>
      </w:r>
    </w:p>
    <w:p w14:paraId="143A9DD2" w14:textId="77777777" w:rsidR="009C4C79" w:rsidRDefault="00000000">
      <w:pPr>
        <w:spacing w:after="300" w:line="360" w:lineRule="auto"/>
      </w:pPr>
      <w:r>
        <w:rPr>
          <w:color w:val="6E747C"/>
          <w:sz w:val="23"/>
          <w:szCs w:val="23"/>
        </w:rPr>
        <w:t>This is the section worth rereading. Most of these take twelve to thirty-six months to change — which is exactly why they are worth knowing early.</w:t>
      </w:r>
    </w:p>
    <w:tbl>
      <w:tblPr>
        <w:tblW w:w="892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4464"/>
        <w:gridCol w:w="4464"/>
      </w:tblGrid>
      <w:tr w:rsidR="009C4C79" w14:paraId="064345DF" w14:textId="77777777">
        <w:tblPrEx>
          <w:tblCellMar>
            <w:top w:w="0" w:type="dxa"/>
            <w:bottom w:w="0" w:type="dxa"/>
          </w:tblCellMar>
        </w:tblPrEx>
        <w:trPr>
          <w:cantSplit/>
        </w:trPr>
        <w:tc>
          <w:tcPr>
            <w:tcW w:w="4464" w:type="dxa"/>
            <w:tcBorders>
              <w:top w:val="none" w:sz="0" w:space="0" w:color="FFFFFF"/>
              <w:left w:val="none" w:sz="0" w:space="0" w:color="FFFFFF"/>
              <w:bottom w:val="none" w:sz="0" w:space="0" w:color="FFFFFF"/>
              <w:right w:val="none" w:sz="0" w:space="0" w:color="FFFFFF"/>
            </w:tcBorders>
            <w:shd w:val="clear" w:color="auto" w:fill="F4F3EE"/>
            <w:tcMar>
              <w:top w:w="300" w:type="dxa"/>
              <w:left w:w="300" w:type="dxa"/>
              <w:bottom w:w="300" w:type="dxa"/>
              <w:right w:w="300" w:type="dxa"/>
            </w:tcMar>
          </w:tcPr>
          <w:p w14:paraId="27C54C85" w14:textId="77777777" w:rsidR="009C4C79" w:rsidRDefault="00000000">
            <w:pPr>
              <w:spacing w:after="40"/>
            </w:pPr>
            <w:r>
              <w:rPr>
                <w:noProof/>
              </w:rPr>
              <w:drawing>
                <wp:inline distT="0" distB="0" distL="0" distR="0" wp14:anchorId="56BDD582" wp14:editId="4BB4D04A">
                  <wp:extent cx="123825" cy="76200"/>
                  <wp:effectExtent l="0" t="0" r="0" b="0"/>
                  <wp:docPr id="1014417643" name="Picture 10144176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23825" cy="76200"/>
                          </a:xfrm>
                          <a:prstGeom prst="rect">
                            <a:avLst/>
                          </a:prstGeom>
                        </pic:spPr>
                      </pic:pic>
                    </a:graphicData>
                  </a:graphic>
                </wp:inline>
              </w:drawing>
            </w:r>
          </w:p>
          <w:p w14:paraId="57154BE1" w14:textId="77777777" w:rsidR="009C4C79" w:rsidRDefault="00000000">
            <w:pPr>
              <w:spacing w:after="160"/>
            </w:pPr>
            <w:r>
              <w:rPr>
                <w:b/>
                <w:bCs/>
                <w:color w:val="66C010"/>
                <w:spacing w:val="60"/>
                <w:sz w:val="14"/>
                <w:szCs w:val="14"/>
              </w:rPr>
              <w:t>WHAT LIFTS VALUE</w:t>
            </w:r>
          </w:p>
          <w:p w14:paraId="670CCE1A" w14:textId="77777777" w:rsidR="009C4C79" w:rsidRDefault="00000000">
            <w:pPr>
              <w:spacing w:after="100" w:line="290" w:lineRule="auto"/>
              <w:ind w:left="230" w:hanging="230"/>
            </w:pPr>
            <w:r>
              <w:rPr>
                <w:b/>
                <w:bCs/>
                <w:color w:val="66C010"/>
                <w:sz w:val="20"/>
                <w:szCs w:val="20"/>
              </w:rPr>
              <w:t xml:space="preserve">·   </w:t>
            </w:r>
            <w:r>
              <w:rPr>
                <w:sz w:val="19"/>
                <w:szCs w:val="19"/>
              </w:rPr>
              <w:t>A diversified customer base</w:t>
            </w:r>
          </w:p>
          <w:p w14:paraId="714BB3B4" w14:textId="77777777" w:rsidR="009C4C79" w:rsidRDefault="00000000">
            <w:pPr>
              <w:spacing w:after="100" w:line="290" w:lineRule="auto"/>
              <w:ind w:left="230" w:hanging="230"/>
            </w:pPr>
            <w:r>
              <w:rPr>
                <w:b/>
                <w:bCs/>
                <w:color w:val="66C010"/>
                <w:sz w:val="20"/>
                <w:szCs w:val="20"/>
              </w:rPr>
              <w:t xml:space="preserve">·   </w:t>
            </w:r>
            <w:r>
              <w:rPr>
                <w:sz w:val="19"/>
                <w:szCs w:val="19"/>
              </w:rPr>
              <w:t>Recurring or contracted revenue</w:t>
            </w:r>
          </w:p>
          <w:p w14:paraId="0039EEB0" w14:textId="77777777" w:rsidR="009C4C79" w:rsidRDefault="00000000">
            <w:pPr>
              <w:spacing w:after="100" w:line="290" w:lineRule="auto"/>
              <w:ind w:left="230" w:hanging="230"/>
            </w:pPr>
            <w:r>
              <w:rPr>
                <w:b/>
                <w:bCs/>
                <w:color w:val="66C010"/>
                <w:sz w:val="20"/>
                <w:szCs w:val="20"/>
              </w:rPr>
              <w:t xml:space="preserve">·   </w:t>
            </w:r>
            <w:r>
              <w:rPr>
                <w:sz w:val="19"/>
                <w:szCs w:val="19"/>
              </w:rPr>
              <w:t>Strong middle management</w:t>
            </w:r>
          </w:p>
          <w:p w14:paraId="498697CD" w14:textId="77777777" w:rsidR="009C4C79" w:rsidRDefault="00000000">
            <w:pPr>
              <w:spacing w:after="100" w:line="290" w:lineRule="auto"/>
              <w:ind w:left="230" w:hanging="230"/>
            </w:pPr>
            <w:r>
              <w:rPr>
                <w:b/>
                <w:bCs/>
                <w:color w:val="66C010"/>
                <w:sz w:val="20"/>
                <w:szCs w:val="20"/>
              </w:rPr>
              <w:t xml:space="preserve">·   </w:t>
            </w:r>
            <w:r>
              <w:rPr>
                <w:sz w:val="19"/>
                <w:szCs w:val="19"/>
              </w:rPr>
              <w:t>Clean, well-documented financials</w:t>
            </w:r>
          </w:p>
          <w:p w14:paraId="4B7A605A" w14:textId="77777777" w:rsidR="009C4C79" w:rsidRDefault="00000000">
            <w:pPr>
              <w:spacing w:after="100" w:line="290" w:lineRule="auto"/>
              <w:ind w:left="230" w:hanging="230"/>
            </w:pPr>
            <w:r>
              <w:rPr>
                <w:b/>
                <w:bCs/>
                <w:color w:val="66C010"/>
                <w:sz w:val="20"/>
                <w:szCs w:val="20"/>
              </w:rPr>
              <w:t xml:space="preserve">·   </w:t>
            </w:r>
            <w:r>
              <w:rPr>
                <w:sz w:val="19"/>
                <w:szCs w:val="19"/>
              </w:rPr>
              <w:t>Scalable systems and processes</w:t>
            </w:r>
          </w:p>
          <w:p w14:paraId="30CF2C7F" w14:textId="77777777" w:rsidR="009C4C79" w:rsidRDefault="00000000">
            <w:pPr>
              <w:spacing w:after="100" w:line="290" w:lineRule="auto"/>
              <w:ind w:left="230" w:hanging="230"/>
            </w:pPr>
            <w:r>
              <w:rPr>
                <w:b/>
                <w:bCs/>
                <w:color w:val="66C010"/>
                <w:sz w:val="20"/>
                <w:szCs w:val="20"/>
              </w:rPr>
              <w:t xml:space="preserve">·   </w:t>
            </w:r>
            <w:r>
              <w:rPr>
                <w:sz w:val="19"/>
                <w:szCs w:val="19"/>
              </w:rPr>
              <w:t>Industry growth or consolidation</w:t>
            </w:r>
          </w:p>
        </w:tc>
        <w:tc>
          <w:tcPr>
            <w:tcW w:w="4464" w:type="dxa"/>
            <w:tcBorders>
              <w:top w:val="none" w:sz="0" w:space="0" w:color="FFFFFF"/>
              <w:left w:val="none" w:sz="0" w:space="0" w:color="FFFFFF"/>
              <w:bottom w:val="none" w:sz="0" w:space="0" w:color="FFFFFF"/>
              <w:right w:val="none" w:sz="0" w:space="0" w:color="FFFFFF"/>
            </w:tcBorders>
            <w:shd w:val="clear" w:color="auto" w:fill="EEECE3"/>
            <w:tcMar>
              <w:top w:w="300" w:type="dxa"/>
              <w:left w:w="300" w:type="dxa"/>
              <w:bottom w:w="300" w:type="dxa"/>
              <w:right w:w="300" w:type="dxa"/>
            </w:tcMar>
          </w:tcPr>
          <w:p w14:paraId="16EAC8C6" w14:textId="77777777" w:rsidR="009C4C79" w:rsidRDefault="00000000">
            <w:pPr>
              <w:spacing w:after="40"/>
            </w:pPr>
            <w:r>
              <w:rPr>
                <w:noProof/>
              </w:rPr>
              <w:drawing>
                <wp:inline distT="0" distB="0" distL="0" distR="0" wp14:anchorId="72A78E95" wp14:editId="2115D2F5">
                  <wp:extent cx="123825" cy="76200"/>
                  <wp:effectExtent l="0" t="0" r="0" b="0"/>
                  <wp:docPr id="246920229" name="Picture 246920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23825" cy="76200"/>
                          </a:xfrm>
                          <a:prstGeom prst="rect">
                            <a:avLst/>
                          </a:prstGeom>
                        </pic:spPr>
                      </pic:pic>
                    </a:graphicData>
                  </a:graphic>
                </wp:inline>
              </w:drawing>
            </w:r>
          </w:p>
          <w:p w14:paraId="48251617" w14:textId="77777777" w:rsidR="009C4C79" w:rsidRDefault="00000000">
            <w:pPr>
              <w:spacing w:after="160"/>
            </w:pPr>
            <w:r>
              <w:rPr>
                <w:b/>
                <w:bCs/>
                <w:color w:val="002145"/>
                <w:spacing w:val="60"/>
                <w:sz w:val="14"/>
                <w:szCs w:val="14"/>
              </w:rPr>
              <w:t>WHAT SUPPRESSES VALUE</w:t>
            </w:r>
          </w:p>
          <w:p w14:paraId="51CD591B" w14:textId="77777777" w:rsidR="009C4C79" w:rsidRDefault="00000000">
            <w:pPr>
              <w:spacing w:after="100" w:line="290" w:lineRule="auto"/>
              <w:ind w:left="230" w:hanging="230"/>
            </w:pPr>
            <w:r>
              <w:rPr>
                <w:b/>
                <w:bCs/>
                <w:color w:val="002145"/>
                <w:sz w:val="20"/>
                <w:szCs w:val="20"/>
              </w:rPr>
              <w:t xml:space="preserve">·   </w:t>
            </w:r>
            <w:r>
              <w:rPr>
                <w:sz w:val="19"/>
                <w:szCs w:val="19"/>
              </w:rPr>
              <w:t>Customer concentration</w:t>
            </w:r>
          </w:p>
          <w:p w14:paraId="4DE03819" w14:textId="77777777" w:rsidR="009C4C79" w:rsidRDefault="00000000">
            <w:pPr>
              <w:spacing w:after="100" w:line="290" w:lineRule="auto"/>
              <w:ind w:left="230" w:hanging="230"/>
            </w:pPr>
            <w:r>
              <w:rPr>
                <w:b/>
                <w:bCs/>
                <w:color w:val="002145"/>
                <w:sz w:val="20"/>
                <w:szCs w:val="20"/>
              </w:rPr>
              <w:t xml:space="preserve">·   </w:t>
            </w:r>
            <w:r>
              <w:rPr>
                <w:sz w:val="19"/>
                <w:szCs w:val="19"/>
              </w:rPr>
              <w:t>Owner dependency</w:t>
            </w:r>
          </w:p>
          <w:p w14:paraId="2DD50860" w14:textId="77777777" w:rsidR="009C4C79" w:rsidRDefault="00000000">
            <w:pPr>
              <w:spacing w:after="100" w:line="290" w:lineRule="auto"/>
              <w:ind w:left="230" w:hanging="230"/>
            </w:pPr>
            <w:r>
              <w:rPr>
                <w:b/>
                <w:bCs/>
                <w:color w:val="002145"/>
                <w:sz w:val="20"/>
                <w:szCs w:val="20"/>
              </w:rPr>
              <w:t xml:space="preserve">·   </w:t>
            </w:r>
            <w:r>
              <w:rPr>
                <w:sz w:val="19"/>
                <w:szCs w:val="19"/>
              </w:rPr>
              <w:t>Inconsistent financial reporting</w:t>
            </w:r>
          </w:p>
          <w:p w14:paraId="60AF16ED" w14:textId="77777777" w:rsidR="009C4C79" w:rsidRDefault="00000000">
            <w:pPr>
              <w:spacing w:after="100" w:line="290" w:lineRule="auto"/>
              <w:ind w:left="230" w:hanging="230"/>
            </w:pPr>
            <w:r>
              <w:rPr>
                <w:b/>
                <w:bCs/>
                <w:color w:val="002145"/>
                <w:sz w:val="20"/>
                <w:szCs w:val="20"/>
              </w:rPr>
              <w:t xml:space="preserve">·   </w:t>
            </w:r>
            <w:r>
              <w:rPr>
                <w:sz w:val="19"/>
                <w:szCs w:val="19"/>
              </w:rPr>
              <w:t>Declining margins</w:t>
            </w:r>
          </w:p>
          <w:p w14:paraId="380F69F3" w14:textId="77777777" w:rsidR="009C4C79" w:rsidRDefault="00000000">
            <w:pPr>
              <w:spacing w:after="100" w:line="290" w:lineRule="auto"/>
              <w:ind w:left="230" w:hanging="230"/>
            </w:pPr>
            <w:r>
              <w:rPr>
                <w:b/>
                <w:bCs/>
                <w:color w:val="002145"/>
                <w:sz w:val="20"/>
                <w:szCs w:val="20"/>
              </w:rPr>
              <w:t xml:space="preserve">·   </w:t>
            </w:r>
            <w:r>
              <w:rPr>
                <w:sz w:val="19"/>
                <w:szCs w:val="19"/>
              </w:rPr>
              <w:t>Regulatory or licensing risk</w:t>
            </w:r>
          </w:p>
          <w:p w14:paraId="42605FAD" w14:textId="77777777" w:rsidR="009C4C79" w:rsidRDefault="00000000">
            <w:pPr>
              <w:spacing w:after="100" w:line="290" w:lineRule="auto"/>
              <w:ind w:left="230" w:hanging="230"/>
            </w:pPr>
            <w:r>
              <w:rPr>
                <w:b/>
                <w:bCs/>
                <w:color w:val="002145"/>
                <w:sz w:val="20"/>
                <w:szCs w:val="20"/>
              </w:rPr>
              <w:t xml:space="preserve">·   </w:t>
            </w:r>
            <w:r>
              <w:rPr>
                <w:sz w:val="19"/>
                <w:szCs w:val="19"/>
              </w:rPr>
              <w:t>Deferred maintenance or aging equipment</w:t>
            </w:r>
          </w:p>
        </w:tc>
      </w:tr>
    </w:tbl>
    <w:p w14:paraId="5DDC1D34" w14:textId="77777777" w:rsidR="009C4C79" w:rsidRDefault="009C4C79">
      <w:pPr>
        <w:spacing w:after="200"/>
      </w:pPr>
    </w:p>
    <w:p w14:paraId="60593FA3" w14:textId="77777777" w:rsidR="009C4C79" w:rsidRDefault="00000000">
      <w:pPr>
        <w:spacing w:after="200"/>
      </w:pPr>
      <w:r>
        <w:t>Addressing these factors usually has more impact on value than short-term revenue growth. Growing revenue while customer concentration stays at sixty percent does not make the business more valuable. It makes it larger and equally fragile.</w:t>
      </w:r>
    </w:p>
    <w:p w14:paraId="5AEB31B2" w14:textId="77777777" w:rsidR="009C4C79" w:rsidRDefault="00000000">
      <w:pPr>
        <w:keepNext/>
        <w:keepLines/>
        <w:spacing w:before="520" w:after="90"/>
      </w:pPr>
      <w:r>
        <w:rPr>
          <w:noProof/>
        </w:rPr>
        <w:drawing>
          <wp:inline distT="0" distB="0" distL="0" distR="0" wp14:anchorId="5D4AB8F9" wp14:editId="16A71C99">
            <wp:extent cx="142875" cy="85725"/>
            <wp:effectExtent l="0" t="0" r="0" b="0"/>
            <wp:docPr id="488124422" name="Picture 488124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42875" cy="85725"/>
                    </a:xfrm>
                    <a:prstGeom prst="rect">
                      <a:avLst/>
                    </a:prstGeom>
                  </pic:spPr>
                </pic:pic>
              </a:graphicData>
            </a:graphic>
          </wp:inline>
        </w:drawing>
      </w:r>
      <w:r>
        <w:rPr>
          <w:b/>
          <w:bCs/>
          <w:color w:val="66C010"/>
          <w:spacing w:val="70"/>
          <w:sz w:val="15"/>
          <w:szCs w:val="15"/>
        </w:rPr>
        <w:t xml:space="preserve">   SECTION 06</w:t>
      </w:r>
    </w:p>
    <w:p w14:paraId="0BDE5F92" w14:textId="77777777" w:rsidR="009C4C79" w:rsidRDefault="00000000">
      <w:pPr>
        <w:keepNext/>
        <w:keepLines/>
        <w:pBdr>
          <w:bottom w:val="single" w:sz="6" w:space="0" w:color="002145"/>
        </w:pBdr>
        <w:spacing w:after="170"/>
      </w:pPr>
      <w:r>
        <w:rPr>
          <w:rFonts w:ascii="Libre Baskerville" w:eastAsia="Libre Baskerville" w:hAnsi="Libre Baskerville" w:cs="Libre Baskerville"/>
          <w:color w:val="002145"/>
          <w:sz w:val="38"/>
          <w:szCs w:val="38"/>
        </w:rPr>
        <w:t>Enterprise value versus what you take home</w:t>
      </w:r>
    </w:p>
    <w:p w14:paraId="6D0518B6" w14:textId="77777777" w:rsidR="009C4C79" w:rsidRDefault="00000000">
      <w:pPr>
        <w:spacing w:after="300" w:line="360" w:lineRule="auto"/>
      </w:pPr>
      <w:r>
        <w:rPr>
          <w:color w:val="6E747C"/>
          <w:sz w:val="23"/>
          <w:szCs w:val="23"/>
        </w:rPr>
        <w:t>The single most common source of disappointment late in a transaction.</w:t>
      </w:r>
    </w:p>
    <w:p w14:paraId="7791F28D" w14:textId="77777777" w:rsidR="009C4C79" w:rsidRDefault="00000000">
      <w:pPr>
        <w:spacing w:after="200"/>
      </w:pPr>
      <w:r>
        <w:t xml:space="preserve">Enterprise value is the value of the operating business, before debt and excess cash. It is the headline number — the one in the offer, the one </w:t>
      </w:r>
      <w:proofErr w:type="gramStart"/>
      <w:r>
        <w:t>owners</w:t>
      </w:r>
      <w:proofErr w:type="gramEnd"/>
      <w:r>
        <w:t xml:space="preserve"> repeat to their families.</w:t>
      </w:r>
    </w:p>
    <w:p w14:paraId="351315C4" w14:textId="77777777" w:rsidR="009C4C79" w:rsidRDefault="00000000">
      <w:pPr>
        <w:spacing w:after="200"/>
      </w:pPr>
      <w:r>
        <w:t xml:space="preserve">Equity value is what you </w:t>
      </w:r>
      <w:proofErr w:type="gramStart"/>
      <w:r>
        <w:t>actually receive</w:t>
      </w:r>
      <w:proofErr w:type="gramEnd"/>
      <w:r>
        <w:t xml:space="preserve"> at closing. It is enterprise value after:</w:t>
      </w:r>
    </w:p>
    <w:p w14:paraId="3836D480" w14:textId="77777777" w:rsidR="009C4C79" w:rsidRDefault="00000000">
      <w:pPr>
        <w:pStyle w:val="ListParagraph"/>
        <w:numPr>
          <w:ilvl w:val="0"/>
          <w:numId w:val="2"/>
        </w:numPr>
        <w:spacing w:after="110" w:line="320" w:lineRule="auto"/>
      </w:pPr>
      <w:r>
        <w:t>Outstanding debt is paid off</w:t>
      </w:r>
    </w:p>
    <w:p w14:paraId="2A82F33D" w14:textId="77777777" w:rsidR="009C4C79" w:rsidRDefault="00000000">
      <w:pPr>
        <w:pStyle w:val="ListParagraph"/>
        <w:numPr>
          <w:ilvl w:val="0"/>
          <w:numId w:val="2"/>
        </w:numPr>
        <w:spacing w:after="110" w:line="320" w:lineRule="auto"/>
      </w:pPr>
      <w:r>
        <w:lastRenderedPageBreak/>
        <w:t>Required working capital is delivered to the buyer</w:t>
      </w:r>
    </w:p>
    <w:p w14:paraId="7CBA4299" w14:textId="77777777" w:rsidR="009C4C79" w:rsidRDefault="00000000">
      <w:pPr>
        <w:pStyle w:val="ListParagraph"/>
        <w:numPr>
          <w:ilvl w:val="0"/>
          <w:numId w:val="2"/>
        </w:numPr>
        <w:spacing w:after="110" w:line="320" w:lineRule="auto"/>
      </w:pPr>
      <w:r>
        <w:t>Transaction expenses are accounted for</w:t>
      </w:r>
    </w:p>
    <w:p w14:paraId="1099E6D0" w14:textId="77777777" w:rsidR="009C4C79" w:rsidRDefault="009C4C79">
      <w:pPr>
        <w:spacing w:after="40"/>
      </w:pPr>
    </w:p>
    <w:tbl>
      <w:tblPr>
        <w:tblW w:w="892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8928"/>
      </w:tblGrid>
      <w:tr w:rsidR="009C4C79" w14:paraId="320EB7E4" w14:textId="77777777">
        <w:tblPrEx>
          <w:tblCellMar>
            <w:top w:w="0" w:type="dxa"/>
            <w:bottom w:w="0" w:type="dxa"/>
          </w:tblCellMar>
        </w:tblPrEx>
        <w:trPr>
          <w:cantSplit/>
        </w:trPr>
        <w:tc>
          <w:tcPr>
            <w:tcW w:w="8928" w:type="dxa"/>
            <w:tcBorders>
              <w:top w:val="none" w:sz="0" w:space="0" w:color="FFFFFF"/>
              <w:left w:val="single" w:sz="18" w:space="0" w:color="66C010"/>
              <w:bottom w:val="none" w:sz="0" w:space="0" w:color="FFFFFF"/>
              <w:right w:val="none" w:sz="0" w:space="0" w:color="FFFFFF"/>
            </w:tcBorders>
            <w:shd w:val="clear" w:color="auto" w:fill="EEECE3"/>
            <w:tcMar>
              <w:top w:w="240" w:type="dxa"/>
              <w:left w:w="330" w:type="dxa"/>
              <w:bottom w:w="240" w:type="dxa"/>
              <w:right w:w="330" w:type="dxa"/>
            </w:tcMar>
          </w:tcPr>
          <w:p w14:paraId="7B387D5F" w14:textId="77777777" w:rsidR="009C4C79" w:rsidRDefault="00000000">
            <w:pPr>
              <w:spacing w:after="90"/>
            </w:pPr>
            <w:r>
              <w:rPr>
                <w:b/>
                <w:bCs/>
                <w:color w:val="002145"/>
                <w:spacing w:val="60"/>
                <w:sz w:val="14"/>
                <w:szCs w:val="14"/>
              </w:rPr>
              <w:t>UNDERSTAND THIS EARLY</w:t>
            </w:r>
          </w:p>
          <w:p w14:paraId="412E8E1D" w14:textId="77777777" w:rsidR="009C4C79" w:rsidRDefault="00000000">
            <w:r>
              <w:t xml:space="preserve">The gap between the two numbers is routinely six or seven figures. Owners who learn the distinction at the closing table feel misled. Owners who learn it at the start negotiate the working capital peg — which is where a meaningful amount of that gap is </w:t>
            </w:r>
            <w:proofErr w:type="gramStart"/>
            <w:r>
              <w:t>actually decided</w:t>
            </w:r>
            <w:proofErr w:type="gramEnd"/>
            <w:r>
              <w:t>.</w:t>
            </w:r>
          </w:p>
        </w:tc>
      </w:tr>
    </w:tbl>
    <w:p w14:paraId="79B178FF" w14:textId="77777777" w:rsidR="009C4C79" w:rsidRDefault="00000000">
      <w:pPr>
        <w:keepNext/>
        <w:keepLines/>
        <w:spacing w:before="520" w:after="90"/>
      </w:pPr>
      <w:r>
        <w:rPr>
          <w:noProof/>
        </w:rPr>
        <w:drawing>
          <wp:inline distT="0" distB="0" distL="0" distR="0" wp14:anchorId="2400E1E4" wp14:editId="50E6A62B">
            <wp:extent cx="142875" cy="85725"/>
            <wp:effectExtent l="0" t="0" r="0" b="0"/>
            <wp:docPr id="320429833" name="Picture 320429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42875" cy="85725"/>
                    </a:xfrm>
                    <a:prstGeom prst="rect">
                      <a:avLst/>
                    </a:prstGeom>
                  </pic:spPr>
                </pic:pic>
              </a:graphicData>
            </a:graphic>
          </wp:inline>
        </w:drawing>
      </w:r>
      <w:r>
        <w:rPr>
          <w:b/>
          <w:bCs/>
          <w:color w:val="66C010"/>
          <w:spacing w:val="70"/>
          <w:sz w:val="15"/>
          <w:szCs w:val="15"/>
        </w:rPr>
        <w:t xml:space="preserve">   SECTION 07</w:t>
      </w:r>
    </w:p>
    <w:p w14:paraId="287BC04E" w14:textId="77777777" w:rsidR="009C4C79" w:rsidRDefault="00000000">
      <w:pPr>
        <w:keepNext/>
        <w:keepLines/>
        <w:pBdr>
          <w:bottom w:val="single" w:sz="6" w:space="0" w:color="002145"/>
        </w:pBdr>
        <w:spacing w:after="170"/>
      </w:pPr>
      <w:r>
        <w:rPr>
          <w:rFonts w:ascii="Libre Baskerville" w:eastAsia="Libre Baskerville" w:hAnsi="Libre Baskerville" w:cs="Libre Baskerville"/>
          <w:color w:val="002145"/>
          <w:sz w:val="38"/>
          <w:szCs w:val="38"/>
        </w:rPr>
        <w:t>Formal valuations: when they help, when they don't</w:t>
      </w:r>
    </w:p>
    <w:p w14:paraId="2E8D38F1" w14:textId="77777777" w:rsidR="009C4C79" w:rsidRDefault="00000000">
      <w:pPr>
        <w:spacing w:after="300" w:line="360" w:lineRule="auto"/>
      </w:pPr>
      <w:r>
        <w:rPr>
          <w:color w:val="6E747C"/>
          <w:sz w:val="23"/>
          <w:szCs w:val="23"/>
        </w:rPr>
        <w:t>A formal valuation is a specific tool for specific jobs. Preparing to sell is not always one of them.</w:t>
      </w:r>
    </w:p>
    <w:p w14:paraId="7ACE4FC3" w14:textId="77777777" w:rsidR="009C4C79" w:rsidRDefault="00000000">
      <w:pPr>
        <w:keepNext/>
        <w:keepLines/>
        <w:spacing w:before="340" w:after="140"/>
      </w:pPr>
      <w:r>
        <w:rPr>
          <w:rFonts w:ascii="Libre Baskerville" w:eastAsia="Libre Baskerville" w:hAnsi="Libre Baskerville" w:cs="Libre Baskerville"/>
          <w:color w:val="002145"/>
          <w:sz w:val="25"/>
          <w:szCs w:val="25"/>
        </w:rPr>
        <w:t>When a formal valuation is the right instrument</w:t>
      </w:r>
    </w:p>
    <w:p w14:paraId="57D6E05A" w14:textId="77777777" w:rsidR="009C4C79" w:rsidRDefault="00000000">
      <w:pPr>
        <w:spacing w:after="200"/>
      </w:pPr>
      <w:r>
        <w:t>Formal valuations produce a structured, defensible opinion of value based on established methodology. They are appropriate when:</w:t>
      </w:r>
    </w:p>
    <w:p w14:paraId="6969C7EA" w14:textId="77777777" w:rsidR="009C4C79" w:rsidRDefault="00000000">
      <w:pPr>
        <w:pStyle w:val="ListParagraph"/>
        <w:numPr>
          <w:ilvl w:val="0"/>
          <w:numId w:val="2"/>
        </w:numPr>
        <w:spacing w:after="110" w:line="320" w:lineRule="auto"/>
      </w:pPr>
      <w:r>
        <w:t>Supporting estate, gift, or tax planning</w:t>
      </w:r>
    </w:p>
    <w:p w14:paraId="1A275971" w14:textId="77777777" w:rsidR="009C4C79" w:rsidRDefault="00000000">
      <w:pPr>
        <w:pStyle w:val="ListParagraph"/>
        <w:numPr>
          <w:ilvl w:val="0"/>
          <w:numId w:val="2"/>
        </w:numPr>
        <w:spacing w:after="110" w:line="320" w:lineRule="auto"/>
      </w:pPr>
      <w:r>
        <w:t>Required for litigation, shareholder disputes, or compliance</w:t>
      </w:r>
    </w:p>
    <w:p w14:paraId="729EFA12" w14:textId="77777777" w:rsidR="009C4C79" w:rsidRDefault="00000000">
      <w:pPr>
        <w:pStyle w:val="ListParagraph"/>
        <w:numPr>
          <w:ilvl w:val="0"/>
          <w:numId w:val="2"/>
        </w:numPr>
        <w:spacing w:after="110" w:line="320" w:lineRule="auto"/>
      </w:pPr>
      <w:r>
        <w:t>Establishing a documented baseline value at a fixed point in time</w:t>
      </w:r>
    </w:p>
    <w:p w14:paraId="57EC8351" w14:textId="77777777" w:rsidR="009C4C79" w:rsidRDefault="00000000">
      <w:pPr>
        <w:keepNext/>
        <w:keepLines/>
        <w:spacing w:before="340" w:after="140"/>
      </w:pPr>
      <w:r>
        <w:rPr>
          <w:rFonts w:ascii="Libre Baskerville" w:eastAsia="Libre Baskerville" w:hAnsi="Libre Baskerville" w:cs="Libre Baskerville"/>
          <w:color w:val="002145"/>
          <w:sz w:val="25"/>
          <w:szCs w:val="25"/>
        </w:rPr>
        <w:t>Where they fall short for a sale</w:t>
      </w:r>
    </w:p>
    <w:p w14:paraId="2776A127" w14:textId="77777777" w:rsidR="009C4C79" w:rsidRDefault="00000000">
      <w:pPr>
        <w:pStyle w:val="ListParagraph"/>
        <w:numPr>
          <w:ilvl w:val="0"/>
          <w:numId w:val="2"/>
        </w:numPr>
        <w:spacing w:after="110" w:line="320" w:lineRule="auto"/>
      </w:pPr>
      <w:r>
        <w:t>Cost and time — often thousands of dollars and several months</w:t>
      </w:r>
    </w:p>
    <w:p w14:paraId="0D113022" w14:textId="77777777" w:rsidR="009C4C79" w:rsidRDefault="00000000">
      <w:pPr>
        <w:pStyle w:val="ListParagraph"/>
        <w:numPr>
          <w:ilvl w:val="0"/>
          <w:numId w:val="2"/>
        </w:numPr>
        <w:spacing w:after="110" w:line="320" w:lineRule="auto"/>
      </w:pPr>
      <w:r>
        <w:t>Static conclusions that may not reflect current buyer behavior or financing conditions</w:t>
      </w:r>
    </w:p>
    <w:p w14:paraId="67704F75" w14:textId="77777777" w:rsidR="009C4C79" w:rsidRDefault="00000000">
      <w:pPr>
        <w:pStyle w:val="ListParagraph"/>
        <w:numPr>
          <w:ilvl w:val="0"/>
          <w:numId w:val="2"/>
        </w:numPr>
        <w:spacing w:after="110" w:line="320" w:lineRule="auto"/>
      </w:pPr>
      <w:r>
        <w:t>Anchoring risk: a specific number can set an expectation the market will not support</w:t>
      </w:r>
    </w:p>
    <w:p w14:paraId="5AA523CE" w14:textId="77777777" w:rsidR="009C4C79" w:rsidRDefault="00000000">
      <w:pPr>
        <w:spacing w:after="200"/>
      </w:pPr>
      <w:r>
        <w:lastRenderedPageBreak/>
        <w:t xml:space="preserve">In some </w:t>
      </w:r>
      <w:proofErr w:type="gramStart"/>
      <w:r>
        <w:t>cases</w:t>
      </w:r>
      <w:proofErr w:type="gramEnd"/>
      <w:r>
        <w:t xml:space="preserve"> a formal valuation quietly boxes an owner into a price, limiting flexibility during a live process.</w:t>
      </w:r>
    </w:p>
    <w:p w14:paraId="0C5B69AF" w14:textId="77777777" w:rsidR="009C4C79" w:rsidRDefault="00000000">
      <w:pPr>
        <w:keepNext/>
        <w:keepLines/>
        <w:spacing w:before="340" w:after="140"/>
      </w:pPr>
      <w:r>
        <w:rPr>
          <w:rFonts w:ascii="Libre Baskerville" w:eastAsia="Libre Baskerville" w:hAnsi="Libre Baskerville" w:cs="Libre Baskerville"/>
          <w:color w:val="002145"/>
          <w:sz w:val="25"/>
          <w:szCs w:val="25"/>
        </w:rPr>
        <w:t>The market-driven alternative</w:t>
      </w:r>
    </w:p>
    <w:p w14:paraId="29F21BDE" w14:textId="77777777" w:rsidR="009C4C79" w:rsidRDefault="00000000">
      <w:pPr>
        <w:spacing w:after="200"/>
      </w:pPr>
      <w:r>
        <w:t>The practical approach for a sale is a transaction-focused workup: an estimate of achievable purchase price grounded in the same fundamentals — SDE or Adjusted EBITDA, market-based multiples — but informed by what is actually happening in the market right now, including buyer demand, financing conditions, and recent comparable transactions.</w:t>
      </w:r>
    </w:p>
    <w:p w14:paraId="4823DD74" w14:textId="77777777" w:rsidR="009C4C79" w:rsidRDefault="00000000">
      <w:pPr>
        <w:spacing w:after="200"/>
      </w:pPr>
      <w:r>
        <w:t>That keeps expectations realistic and preserves flexibility, so the focus stays where it belongs: on positioning, process, and competition.</w:t>
      </w:r>
    </w:p>
    <w:p w14:paraId="22F381C3" w14:textId="77777777" w:rsidR="009C4C79" w:rsidRDefault="00000000">
      <w:pPr>
        <w:keepNext/>
        <w:keepLines/>
        <w:spacing w:before="520" w:after="90"/>
      </w:pPr>
      <w:r>
        <w:rPr>
          <w:noProof/>
        </w:rPr>
        <w:drawing>
          <wp:inline distT="0" distB="0" distL="0" distR="0" wp14:anchorId="3B819E42" wp14:editId="76A10D42">
            <wp:extent cx="142875" cy="85725"/>
            <wp:effectExtent l="0" t="0" r="0" b="0"/>
            <wp:docPr id="2074661319" name="Picture 2074661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42875" cy="85725"/>
                    </a:xfrm>
                    <a:prstGeom prst="rect">
                      <a:avLst/>
                    </a:prstGeom>
                  </pic:spPr>
                </pic:pic>
              </a:graphicData>
            </a:graphic>
          </wp:inline>
        </w:drawing>
      </w:r>
      <w:r>
        <w:rPr>
          <w:b/>
          <w:bCs/>
          <w:color w:val="66C010"/>
          <w:spacing w:val="70"/>
          <w:sz w:val="15"/>
          <w:szCs w:val="15"/>
        </w:rPr>
        <w:t xml:space="preserve">   SECTION 08</w:t>
      </w:r>
    </w:p>
    <w:p w14:paraId="72C5C86A" w14:textId="77777777" w:rsidR="009C4C79" w:rsidRDefault="00000000">
      <w:pPr>
        <w:keepNext/>
        <w:keepLines/>
        <w:pBdr>
          <w:bottom w:val="single" w:sz="6" w:space="0" w:color="002145"/>
        </w:pBdr>
        <w:spacing w:after="170"/>
      </w:pPr>
      <w:r>
        <w:rPr>
          <w:rFonts w:ascii="Libre Baskerville" w:eastAsia="Libre Baskerville" w:hAnsi="Libre Baskerville" w:cs="Libre Baskerville"/>
          <w:color w:val="002145"/>
          <w:sz w:val="38"/>
          <w:szCs w:val="38"/>
        </w:rPr>
        <w:t>Timing is part of the price</w:t>
      </w:r>
    </w:p>
    <w:p w14:paraId="28A67BA7" w14:textId="77777777" w:rsidR="009C4C79" w:rsidRDefault="00000000">
      <w:pPr>
        <w:spacing w:after="300" w:line="360" w:lineRule="auto"/>
      </w:pPr>
      <w:r>
        <w:rPr>
          <w:color w:val="6E747C"/>
          <w:sz w:val="23"/>
          <w:szCs w:val="23"/>
        </w:rPr>
        <w:t>The same business, taken to market in two different years, can command materially different valuations.</w:t>
      </w:r>
    </w:p>
    <w:p w14:paraId="15E273C9" w14:textId="77777777" w:rsidR="009C4C79" w:rsidRDefault="00000000">
      <w:pPr>
        <w:spacing w:after="200"/>
      </w:pPr>
      <w:r>
        <w:t>Valuation is sensitive to conditions no owner controls:</w:t>
      </w:r>
    </w:p>
    <w:p w14:paraId="2B80AFC0" w14:textId="77777777" w:rsidR="009C4C79" w:rsidRDefault="00000000">
      <w:pPr>
        <w:pStyle w:val="ListParagraph"/>
        <w:numPr>
          <w:ilvl w:val="0"/>
          <w:numId w:val="2"/>
        </w:numPr>
        <w:spacing w:after="110" w:line="320" w:lineRule="auto"/>
      </w:pPr>
      <w:r>
        <w:t>Interest rates and the cost of acquisition financing</w:t>
      </w:r>
    </w:p>
    <w:p w14:paraId="02E32867" w14:textId="77777777" w:rsidR="009C4C79" w:rsidRDefault="00000000">
      <w:pPr>
        <w:pStyle w:val="ListParagraph"/>
        <w:numPr>
          <w:ilvl w:val="0"/>
          <w:numId w:val="2"/>
        </w:numPr>
        <w:spacing w:after="110" w:line="320" w:lineRule="auto"/>
      </w:pPr>
      <w:r>
        <w:t>Lending availability and how much leverage buyers can raise</w:t>
      </w:r>
    </w:p>
    <w:p w14:paraId="5F91AE1D" w14:textId="77777777" w:rsidR="009C4C79" w:rsidRDefault="00000000">
      <w:pPr>
        <w:pStyle w:val="ListParagraph"/>
        <w:numPr>
          <w:ilvl w:val="0"/>
          <w:numId w:val="2"/>
        </w:numPr>
        <w:spacing w:after="110" w:line="320" w:lineRule="auto"/>
      </w:pPr>
      <w:r>
        <w:t>Buyer appetite in your sector</w:t>
      </w:r>
    </w:p>
    <w:p w14:paraId="72D17F4D" w14:textId="77777777" w:rsidR="009C4C79" w:rsidRDefault="00000000">
      <w:pPr>
        <w:pStyle w:val="ListParagraph"/>
        <w:numPr>
          <w:ilvl w:val="0"/>
          <w:numId w:val="2"/>
        </w:numPr>
        <w:spacing w:after="110" w:line="320" w:lineRule="auto"/>
      </w:pPr>
      <w:r>
        <w:t>Industry-specific trends and consolidation cycles</w:t>
      </w:r>
    </w:p>
    <w:p w14:paraId="6A0DABF9" w14:textId="77777777" w:rsidR="009C4C79" w:rsidRDefault="009C4C79">
      <w:pPr>
        <w:spacing w:after="40"/>
      </w:pPr>
    </w:p>
    <w:p w14:paraId="298B6B2A" w14:textId="77777777" w:rsidR="009C4C79" w:rsidRDefault="00000000">
      <w:pPr>
        <w:spacing w:before="260" w:after="300" w:line="380" w:lineRule="auto"/>
        <w:ind w:left="340" w:right="340"/>
      </w:pPr>
      <w:r>
        <w:rPr>
          <w:rFonts w:ascii="Libre Baskerville" w:eastAsia="Libre Baskerville" w:hAnsi="Libre Baskerville" w:cs="Libre Baskerville"/>
          <w:i/>
          <w:iCs/>
          <w:color w:val="002145"/>
          <w:sz w:val="25"/>
          <w:szCs w:val="25"/>
        </w:rPr>
        <w:t>You cannot control the market. You can control whether you are ready when it turns favorable — which is the entire argument for preparing early.</w:t>
      </w:r>
    </w:p>
    <w:p w14:paraId="649AFFD3" w14:textId="77777777" w:rsidR="009C4C79" w:rsidRDefault="00000000">
      <w:pPr>
        <w:keepNext/>
        <w:keepLines/>
        <w:spacing w:before="520" w:after="90"/>
      </w:pPr>
      <w:r>
        <w:rPr>
          <w:noProof/>
        </w:rPr>
        <w:lastRenderedPageBreak/>
        <w:drawing>
          <wp:inline distT="0" distB="0" distL="0" distR="0" wp14:anchorId="1B86A187" wp14:editId="16EF77F6">
            <wp:extent cx="142875" cy="85725"/>
            <wp:effectExtent l="0" t="0" r="0" b="0"/>
            <wp:docPr id="1967346543" name="Picture 1967346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42875" cy="85725"/>
                    </a:xfrm>
                    <a:prstGeom prst="rect">
                      <a:avLst/>
                    </a:prstGeom>
                  </pic:spPr>
                </pic:pic>
              </a:graphicData>
            </a:graphic>
          </wp:inline>
        </w:drawing>
      </w:r>
      <w:r>
        <w:rPr>
          <w:b/>
          <w:bCs/>
          <w:color w:val="66C010"/>
          <w:spacing w:val="70"/>
          <w:sz w:val="15"/>
          <w:szCs w:val="15"/>
        </w:rPr>
        <w:t xml:space="preserve">   SECTION 09</w:t>
      </w:r>
    </w:p>
    <w:p w14:paraId="29552C21" w14:textId="77777777" w:rsidR="009C4C79" w:rsidRDefault="00000000">
      <w:pPr>
        <w:keepNext/>
        <w:keepLines/>
        <w:pBdr>
          <w:bottom w:val="single" w:sz="6" w:space="0" w:color="002145"/>
        </w:pBdr>
        <w:spacing w:after="170"/>
      </w:pPr>
      <w:r>
        <w:rPr>
          <w:rFonts w:ascii="Libre Baskerville" w:eastAsia="Libre Baskerville" w:hAnsi="Libre Baskerville" w:cs="Libre Baskerville"/>
          <w:color w:val="002145"/>
          <w:sz w:val="38"/>
          <w:szCs w:val="38"/>
        </w:rPr>
        <w:t>Where to go from here</w:t>
      </w:r>
    </w:p>
    <w:p w14:paraId="438AA5BC" w14:textId="77777777" w:rsidR="009C4C79" w:rsidRDefault="00000000">
      <w:pPr>
        <w:spacing w:after="300" w:line="360" w:lineRule="auto"/>
      </w:pPr>
      <w:r>
        <w:rPr>
          <w:color w:val="6E747C"/>
          <w:sz w:val="23"/>
          <w:szCs w:val="23"/>
        </w:rPr>
        <w:t>Understanding valuation is not academic. It changes what you do next.</w:t>
      </w:r>
    </w:p>
    <w:p w14:paraId="3904FC88" w14:textId="77777777" w:rsidR="009C4C79" w:rsidRDefault="00000000">
      <w:pPr>
        <w:spacing w:after="200"/>
      </w:pPr>
      <w:r>
        <w:t>If a sale is somewhere on your horizon — one year out or ten — the useful next steps are small and concrete:</w:t>
      </w:r>
    </w:p>
    <w:p w14:paraId="0F58C214" w14:textId="77777777" w:rsidR="009C4C79" w:rsidRDefault="00000000">
      <w:pPr>
        <w:pStyle w:val="ListParagraph"/>
        <w:numPr>
          <w:ilvl w:val="0"/>
          <w:numId w:val="2"/>
        </w:numPr>
        <w:spacing w:after="110" w:line="320" w:lineRule="auto"/>
      </w:pPr>
      <w:r>
        <w:t>Establish a working estimate of value so you have a baseline, not a guess</w:t>
      </w:r>
    </w:p>
    <w:p w14:paraId="5B1A367B" w14:textId="77777777" w:rsidR="009C4C79" w:rsidRDefault="00000000">
      <w:pPr>
        <w:pStyle w:val="ListParagraph"/>
        <w:numPr>
          <w:ilvl w:val="0"/>
          <w:numId w:val="2"/>
        </w:numPr>
        <w:spacing w:after="110" w:line="320" w:lineRule="auto"/>
      </w:pPr>
      <w:r>
        <w:t>Identify your two largest value suppressors and start on the slower one now</w:t>
      </w:r>
    </w:p>
    <w:p w14:paraId="17A8F5E3" w14:textId="77777777" w:rsidR="009C4C79" w:rsidRDefault="00000000">
      <w:pPr>
        <w:pStyle w:val="ListParagraph"/>
        <w:numPr>
          <w:ilvl w:val="0"/>
          <w:numId w:val="2"/>
        </w:numPr>
        <w:spacing w:after="110" w:line="320" w:lineRule="auto"/>
      </w:pPr>
      <w:r>
        <w:t xml:space="preserve">Get clarity on the gap between enterprise value and what you would </w:t>
      </w:r>
      <w:proofErr w:type="gramStart"/>
      <w:r>
        <w:t>actually take</w:t>
      </w:r>
      <w:proofErr w:type="gramEnd"/>
      <w:r>
        <w:t xml:space="preserve"> home</w:t>
      </w:r>
    </w:p>
    <w:p w14:paraId="47EDB9D7" w14:textId="77777777" w:rsidR="009C4C79" w:rsidRDefault="00000000">
      <w:pPr>
        <w:pStyle w:val="ListParagraph"/>
        <w:numPr>
          <w:ilvl w:val="0"/>
          <w:numId w:val="2"/>
        </w:numPr>
        <w:spacing w:after="110" w:line="320" w:lineRule="auto"/>
      </w:pPr>
      <w:r>
        <w:t>Bring in a transaction advisor early if you are within one to three years of an exit, receiving unsolicited offers, or planning an ownership transition</w:t>
      </w:r>
    </w:p>
    <w:p w14:paraId="05FF45AD" w14:textId="77777777" w:rsidR="009C4C79" w:rsidRDefault="009C4C79">
      <w:pPr>
        <w:spacing w:after="80"/>
      </w:pPr>
    </w:p>
    <w:tbl>
      <w:tblPr>
        <w:tblW w:w="892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8928"/>
      </w:tblGrid>
      <w:tr w:rsidR="009C4C79" w14:paraId="7CFB5AE0" w14:textId="77777777">
        <w:tblPrEx>
          <w:tblCellMar>
            <w:top w:w="0" w:type="dxa"/>
            <w:bottom w:w="0" w:type="dxa"/>
          </w:tblCellMar>
        </w:tblPrEx>
        <w:trPr>
          <w:cantSplit/>
        </w:trPr>
        <w:tc>
          <w:tcPr>
            <w:tcW w:w="8928" w:type="dxa"/>
            <w:tcBorders>
              <w:top w:val="none" w:sz="0" w:space="0" w:color="FFFFFF"/>
              <w:left w:val="single" w:sz="18" w:space="0" w:color="66C010"/>
              <w:bottom w:val="none" w:sz="0" w:space="0" w:color="FFFFFF"/>
              <w:right w:val="none" w:sz="0" w:space="0" w:color="FFFFFF"/>
            </w:tcBorders>
            <w:shd w:val="clear" w:color="auto" w:fill="EEECE3"/>
            <w:tcMar>
              <w:top w:w="240" w:type="dxa"/>
              <w:left w:w="330" w:type="dxa"/>
              <w:bottom w:w="240" w:type="dxa"/>
              <w:right w:w="330" w:type="dxa"/>
            </w:tcMar>
          </w:tcPr>
          <w:p w14:paraId="2D20A5C9" w14:textId="77777777" w:rsidR="009C4C79" w:rsidRDefault="00000000">
            <w:pPr>
              <w:spacing w:after="90"/>
            </w:pPr>
            <w:r>
              <w:rPr>
                <w:b/>
                <w:bCs/>
                <w:color w:val="002145"/>
                <w:spacing w:val="60"/>
                <w:sz w:val="14"/>
                <w:szCs w:val="14"/>
              </w:rPr>
              <w:t>ON UNSOLICITED OFFERS</w:t>
            </w:r>
          </w:p>
          <w:p w14:paraId="5884E2BD" w14:textId="77777777" w:rsidR="009C4C79" w:rsidRDefault="00000000">
            <w:r>
              <w:t>An unsolicited offer is not a valuation. It is one buyer's opening position, made without competition, usually to a seller who has not been told what the business is worth. It is the single most expensive moment to be uninformed.</w:t>
            </w:r>
          </w:p>
        </w:tc>
      </w:tr>
    </w:tbl>
    <w:p w14:paraId="51DA4AFF" w14:textId="77777777" w:rsidR="009C4C79" w:rsidRDefault="00000000">
      <w:pPr>
        <w:pageBreakBefore/>
        <w:pBdr>
          <w:bottom w:val="single" w:sz="4" w:space="0" w:color="D9D9D9"/>
        </w:pBdr>
        <w:spacing w:after="240"/>
      </w:pPr>
      <w:r>
        <w:rPr>
          <w:b/>
          <w:bCs/>
          <w:color w:val="6E747C"/>
          <w:spacing w:val="60"/>
          <w:sz w:val="14"/>
          <w:szCs w:val="14"/>
        </w:rPr>
        <w:lastRenderedPageBreak/>
        <w:t>OPTIONAL PAGE — KEEP OR DELETE</w:t>
      </w:r>
    </w:p>
    <w:p w14:paraId="3E7BE9A2" w14:textId="77777777" w:rsidR="009C4C79" w:rsidRDefault="00000000">
      <w:pPr>
        <w:keepNext/>
        <w:keepLines/>
        <w:spacing w:before="240" w:after="90"/>
      </w:pPr>
      <w:r>
        <w:rPr>
          <w:noProof/>
        </w:rPr>
        <w:drawing>
          <wp:inline distT="0" distB="0" distL="0" distR="0" wp14:anchorId="7BD9C984" wp14:editId="6D14D326">
            <wp:extent cx="142875" cy="85725"/>
            <wp:effectExtent l="0" t="0" r="0" b="0"/>
            <wp:docPr id="708840393" name="Picture 708840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42875" cy="85725"/>
                    </a:xfrm>
                    <a:prstGeom prst="rect">
                      <a:avLst/>
                    </a:prstGeom>
                  </pic:spPr>
                </pic:pic>
              </a:graphicData>
            </a:graphic>
          </wp:inline>
        </w:drawing>
      </w:r>
      <w:r>
        <w:rPr>
          <w:b/>
          <w:bCs/>
          <w:color w:val="66C010"/>
          <w:spacing w:val="70"/>
          <w:sz w:val="15"/>
          <w:szCs w:val="15"/>
        </w:rPr>
        <w:t xml:space="preserve">   </w:t>
      </w:r>
    </w:p>
    <w:p w14:paraId="32BED341" w14:textId="77777777" w:rsidR="009C4C79" w:rsidRDefault="00000000">
      <w:pPr>
        <w:keepNext/>
        <w:keepLines/>
        <w:pBdr>
          <w:bottom w:val="single" w:sz="6" w:space="0" w:color="002145"/>
        </w:pBdr>
        <w:spacing w:after="170"/>
      </w:pPr>
      <w:r>
        <w:rPr>
          <w:rFonts w:ascii="Libre Baskerville" w:eastAsia="Libre Baskerville" w:hAnsi="Libre Baskerville" w:cs="Libre Baskerville"/>
          <w:color w:val="002145"/>
          <w:sz w:val="38"/>
          <w:szCs w:val="38"/>
        </w:rPr>
        <w:t>Who handles the transaction</w:t>
      </w:r>
    </w:p>
    <w:p w14:paraId="5DBB3190" w14:textId="77777777" w:rsidR="009C4C79" w:rsidRDefault="00000000">
      <w:pPr>
        <w:spacing w:after="200" w:line="340" w:lineRule="auto"/>
      </w:pPr>
      <w:r>
        <w:rPr>
          <w:sz w:val="22"/>
          <w:szCs w:val="22"/>
        </w:rPr>
        <w:t xml:space="preserve">Preparation and execution are two different disciplines. The work in this guide is preparation — understanding value, closing gaps, choosing timing. When it comes time to </w:t>
      </w:r>
      <w:proofErr w:type="gramStart"/>
      <w:r>
        <w:rPr>
          <w:sz w:val="22"/>
          <w:szCs w:val="22"/>
        </w:rPr>
        <w:t>actually run</w:t>
      </w:r>
      <w:proofErr w:type="gramEnd"/>
      <w:r>
        <w:rPr>
          <w:sz w:val="22"/>
          <w:szCs w:val="22"/>
        </w:rPr>
        <w:t xml:space="preserve"> a sale process, that is a separate specialty, and the firm below is who handles it.</w:t>
      </w:r>
    </w:p>
    <w:p w14:paraId="7169500E" w14:textId="77777777" w:rsidR="009C4C79" w:rsidRDefault="009C4C79">
      <w:pPr>
        <w:spacing w:after="80"/>
      </w:pPr>
    </w:p>
    <w:tbl>
      <w:tblPr>
        <w:tblW w:w="892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8928"/>
      </w:tblGrid>
      <w:tr w:rsidR="009C4C79" w14:paraId="106FA06E" w14:textId="77777777">
        <w:tblPrEx>
          <w:tblCellMar>
            <w:top w:w="0" w:type="dxa"/>
            <w:bottom w:w="0" w:type="dxa"/>
          </w:tblCellMar>
        </w:tblPrEx>
        <w:trPr>
          <w:cantSplit/>
        </w:trPr>
        <w:tc>
          <w:tcPr>
            <w:tcW w:w="8928" w:type="dxa"/>
            <w:tcBorders>
              <w:top w:val="none" w:sz="0" w:space="0" w:color="FFFFFF"/>
              <w:left w:val="none" w:sz="0" w:space="0" w:color="FFFFFF"/>
              <w:bottom w:val="none" w:sz="0" w:space="0" w:color="FFFFFF"/>
              <w:right w:val="none" w:sz="0" w:space="0" w:color="FFFFFF"/>
            </w:tcBorders>
            <w:shd w:val="clear" w:color="auto" w:fill="002145"/>
            <w:tcMar>
              <w:top w:w="330" w:type="dxa"/>
              <w:left w:w="380" w:type="dxa"/>
              <w:bottom w:w="330" w:type="dxa"/>
              <w:right w:w="380" w:type="dxa"/>
            </w:tcMar>
          </w:tcPr>
          <w:p w14:paraId="703114C1" w14:textId="77777777" w:rsidR="009C4C79" w:rsidRDefault="00000000">
            <w:pPr>
              <w:spacing w:after="120"/>
            </w:pPr>
            <w:r>
              <w:rPr>
                <w:noProof/>
              </w:rPr>
              <w:drawing>
                <wp:inline distT="0" distB="0" distL="0" distR="0" wp14:anchorId="52F53EEE" wp14:editId="257C207B">
                  <wp:extent cx="161925" cy="104775"/>
                  <wp:effectExtent l="0" t="0" r="0" b="0"/>
                  <wp:docPr id="1595503108" name="Picture 1595503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61925" cy="104775"/>
                          </a:xfrm>
                          <a:prstGeom prst="rect">
                            <a:avLst/>
                          </a:prstGeom>
                        </pic:spPr>
                      </pic:pic>
                    </a:graphicData>
                  </a:graphic>
                </wp:inline>
              </w:drawing>
            </w:r>
          </w:p>
          <w:p w14:paraId="25F63111" w14:textId="77777777" w:rsidR="009C4C79" w:rsidRDefault="00000000">
            <w:pPr>
              <w:spacing w:after="130"/>
            </w:pPr>
            <w:r>
              <w:rPr>
                <w:rFonts w:ascii="Libre Baskerville" w:eastAsia="Libre Baskerville" w:hAnsi="Libre Baskerville" w:cs="Libre Baskerville"/>
                <w:color w:val="FFFFFF"/>
                <w:sz w:val="28"/>
                <w:szCs w:val="28"/>
              </w:rPr>
              <w:t>Prevail Transaction Partners</w:t>
            </w:r>
          </w:p>
          <w:p w14:paraId="70C523E0" w14:textId="77777777" w:rsidR="009C4C79" w:rsidRDefault="00000000">
            <w:pPr>
              <w:spacing w:after="200" w:line="320" w:lineRule="auto"/>
            </w:pPr>
            <w:r>
              <w:rPr>
                <w:color w:val="D6E0EA"/>
                <w:sz w:val="19"/>
                <w:szCs w:val="19"/>
              </w:rPr>
              <w:t xml:space="preserve">A Cleveland-based transaction advisory firm that represents owners of privately held businesses in the sale of their companies. Prevail's work begins where preparation </w:t>
            </w:r>
            <w:proofErr w:type="gramStart"/>
            <w:r>
              <w:rPr>
                <w:color w:val="D6E0EA"/>
                <w:sz w:val="19"/>
                <w:szCs w:val="19"/>
              </w:rPr>
              <w:t>ends:</w:t>
            </w:r>
            <w:proofErr w:type="gramEnd"/>
            <w:r>
              <w:rPr>
                <w:color w:val="D6E0EA"/>
                <w:sz w:val="19"/>
                <w:szCs w:val="19"/>
              </w:rPr>
              <w:t xml:space="preserve"> positioning the business properly, running a confidential and competitive process, and managing the deal through to close.</w:t>
            </w:r>
          </w:p>
          <w:p w14:paraId="55FE4C3F" w14:textId="77777777" w:rsidR="009C4C79" w:rsidRDefault="00000000">
            <w:pPr>
              <w:spacing w:after="110" w:line="300" w:lineRule="auto"/>
              <w:ind w:left="260" w:hanging="260"/>
            </w:pPr>
            <w:r>
              <w:rPr>
                <w:b/>
                <w:bCs/>
                <w:color w:val="66C010"/>
                <w:sz w:val="19"/>
                <w:szCs w:val="19"/>
              </w:rPr>
              <w:t xml:space="preserve">—   </w:t>
            </w:r>
            <w:r>
              <w:rPr>
                <w:color w:val="D6E0EA"/>
                <w:sz w:val="19"/>
                <w:szCs w:val="19"/>
              </w:rPr>
              <w:t>Two nationally branded hardware stores — 60 interested parties, closed at $7.5MM including real estate.</w:t>
            </w:r>
          </w:p>
          <w:p w14:paraId="17C0011A" w14:textId="77777777" w:rsidR="009C4C79" w:rsidRDefault="00000000">
            <w:pPr>
              <w:spacing w:after="110" w:line="300" w:lineRule="auto"/>
              <w:ind w:left="260" w:hanging="260"/>
            </w:pPr>
            <w:r>
              <w:rPr>
                <w:b/>
                <w:bCs/>
                <w:color w:val="66C010"/>
                <w:sz w:val="19"/>
                <w:szCs w:val="19"/>
              </w:rPr>
              <w:t xml:space="preserve">—   </w:t>
            </w:r>
            <w:r>
              <w:rPr>
                <w:color w:val="D6E0EA"/>
                <w:sz w:val="19"/>
                <w:szCs w:val="19"/>
              </w:rPr>
              <w:t>A specialty rubber roller manufacturer — 20 interested parties, closed at $3.75MM, $750K above the owner's expectation.</w:t>
            </w:r>
          </w:p>
          <w:p w14:paraId="3BF711B8" w14:textId="77777777" w:rsidR="009C4C79" w:rsidRDefault="00000000">
            <w:pPr>
              <w:spacing w:before="200"/>
            </w:pPr>
            <w:r>
              <w:rPr>
                <w:b/>
                <w:bCs/>
                <w:color w:val="66C010"/>
                <w:spacing w:val="20"/>
                <w:sz w:val="18"/>
                <w:szCs w:val="18"/>
              </w:rPr>
              <w:t>prevailprtnrs.com   ·</w:t>
            </w:r>
            <w:proofErr w:type="gramStart"/>
            <w:r>
              <w:rPr>
                <w:b/>
                <w:bCs/>
                <w:color w:val="66C010"/>
                <w:spacing w:val="20"/>
                <w:sz w:val="18"/>
                <w:szCs w:val="18"/>
              </w:rPr>
              <w:t xml:space="preserve">   (</w:t>
            </w:r>
            <w:proofErr w:type="gramEnd"/>
            <w:r>
              <w:rPr>
                <w:b/>
                <w:bCs/>
                <w:color w:val="66C010"/>
                <w:spacing w:val="20"/>
                <w:sz w:val="18"/>
                <w:szCs w:val="18"/>
              </w:rPr>
              <w:t>216) 789-9639</w:t>
            </w:r>
          </w:p>
        </w:tc>
      </w:tr>
    </w:tbl>
    <w:p w14:paraId="256A549C" w14:textId="77777777" w:rsidR="009C4C79" w:rsidRDefault="009C4C79">
      <w:pPr>
        <w:spacing w:after="200"/>
      </w:pPr>
    </w:p>
    <w:p w14:paraId="7B3CA46F" w14:textId="77777777" w:rsidR="009C4C79" w:rsidRDefault="00000000">
      <w:r>
        <w:rPr>
          <w:i/>
          <w:iCs/>
          <w:color w:val="6E747C"/>
          <w:sz w:val="16"/>
          <w:szCs w:val="16"/>
        </w:rPr>
        <w:t>Outcomes described above reflect specific past engagements and are not a prediction of results in any other transaction.</w:t>
      </w:r>
    </w:p>
    <w:p w14:paraId="607D2644" w14:textId="77777777" w:rsidR="009C4C79" w:rsidRDefault="009C4C79">
      <w:pPr>
        <w:pageBreakBefore/>
      </w:pPr>
    </w:p>
    <w:p w14:paraId="3C31E6C7" w14:textId="77777777" w:rsidR="009C4C79" w:rsidRDefault="00000000">
      <w:pPr>
        <w:keepNext/>
        <w:keepLines/>
        <w:spacing w:after="90"/>
      </w:pPr>
      <w:r>
        <w:rPr>
          <w:noProof/>
        </w:rPr>
        <w:drawing>
          <wp:inline distT="0" distB="0" distL="0" distR="0" wp14:anchorId="25F6D75E" wp14:editId="09B0EBF9">
            <wp:extent cx="142875" cy="85725"/>
            <wp:effectExtent l="0" t="0" r="0" b="0"/>
            <wp:docPr id="969491259" name="Picture 969491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42875" cy="85725"/>
                    </a:xfrm>
                    <a:prstGeom prst="rect">
                      <a:avLst/>
                    </a:prstGeom>
                  </pic:spPr>
                </pic:pic>
              </a:graphicData>
            </a:graphic>
          </wp:inline>
        </w:drawing>
      </w:r>
      <w:r>
        <w:rPr>
          <w:b/>
          <w:bCs/>
          <w:color w:val="66C010"/>
          <w:spacing w:val="70"/>
          <w:sz w:val="15"/>
          <w:szCs w:val="15"/>
        </w:rPr>
        <w:t xml:space="preserve">   </w:t>
      </w:r>
    </w:p>
    <w:p w14:paraId="616F4598" w14:textId="77777777" w:rsidR="009C4C79" w:rsidRDefault="00000000">
      <w:pPr>
        <w:keepNext/>
        <w:keepLines/>
        <w:pBdr>
          <w:bottom w:val="single" w:sz="6" w:space="0" w:color="002145"/>
        </w:pBdr>
        <w:spacing w:after="170"/>
      </w:pPr>
      <w:r>
        <w:rPr>
          <w:rFonts w:ascii="Libre Baskerville" w:eastAsia="Libre Baskerville" w:hAnsi="Libre Baskerville" w:cs="Libre Baskerville"/>
          <w:color w:val="002145"/>
          <w:sz w:val="38"/>
          <w:szCs w:val="38"/>
        </w:rPr>
        <w:t>Let's continue the conversation</w:t>
      </w:r>
    </w:p>
    <w:p w14:paraId="04CDC83E" w14:textId="77777777" w:rsidR="009C4C79" w:rsidRDefault="00000000">
      <w:pPr>
        <w:spacing w:after="200" w:line="340" w:lineRule="auto"/>
      </w:pPr>
      <w:r>
        <w:rPr>
          <w:sz w:val="22"/>
          <w:szCs w:val="22"/>
        </w:rPr>
        <w:t>If any part of this raised a question about your own business — what it might be worth, what is holding the number down, or how much runway you would need before a sale — that is a conversation worth having well before you need it.</w:t>
      </w:r>
    </w:p>
    <w:p w14:paraId="658794D7" w14:textId="77777777" w:rsidR="009C4C79" w:rsidRDefault="009C4C79">
      <w:pPr>
        <w:spacing w:after="120"/>
      </w:pPr>
    </w:p>
    <w:p w14:paraId="1D65DD4A" w14:textId="77777777" w:rsidR="009C4C79" w:rsidRDefault="00000000">
      <w:pPr>
        <w:keepNext/>
        <w:keepLines/>
        <w:spacing w:before="280" w:after="120"/>
      </w:pPr>
      <w:r>
        <w:rPr>
          <w:b/>
          <w:bCs/>
          <w:color w:val="002145"/>
          <w:spacing w:val="50"/>
          <w:sz w:val="16"/>
          <w:szCs w:val="16"/>
        </w:rPr>
        <w:t>WAYS TO MOVE FORWARD</w:t>
      </w:r>
    </w:p>
    <w:p w14:paraId="67E729E9" w14:textId="77777777" w:rsidR="009C4C79" w:rsidRDefault="00000000">
      <w:pPr>
        <w:pStyle w:val="ListParagraph"/>
        <w:numPr>
          <w:ilvl w:val="0"/>
          <w:numId w:val="2"/>
        </w:numPr>
        <w:spacing w:after="110" w:line="320" w:lineRule="auto"/>
      </w:pPr>
      <w:r>
        <w:t>Request a confidential estimate of value to establish a baseline</w:t>
      </w:r>
    </w:p>
    <w:p w14:paraId="2A3FBB2B" w14:textId="77777777" w:rsidR="009C4C79" w:rsidRDefault="00000000">
      <w:pPr>
        <w:pStyle w:val="ListParagraph"/>
        <w:numPr>
          <w:ilvl w:val="0"/>
          <w:numId w:val="2"/>
        </w:numPr>
        <w:spacing w:after="110" w:line="320" w:lineRule="auto"/>
      </w:pPr>
      <w:r>
        <w:t>Walk through your value drivers and identify what to address first</w:t>
      </w:r>
    </w:p>
    <w:p w14:paraId="69FC2D32" w14:textId="77777777" w:rsidR="009C4C79" w:rsidRDefault="00000000">
      <w:pPr>
        <w:pStyle w:val="ListParagraph"/>
        <w:numPr>
          <w:ilvl w:val="0"/>
          <w:numId w:val="2"/>
        </w:numPr>
        <w:spacing w:after="110" w:line="320" w:lineRule="auto"/>
      </w:pPr>
      <w:r>
        <w:t>Talk through timing with no obligation and no pressure</w:t>
      </w:r>
    </w:p>
    <w:p w14:paraId="0A5EC96F" w14:textId="77777777" w:rsidR="009C4C79" w:rsidRDefault="009C4C79">
      <w:pPr>
        <w:spacing w:after="200"/>
      </w:pPr>
    </w:p>
    <w:tbl>
      <w:tblPr>
        <w:tblW w:w="892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8928"/>
      </w:tblGrid>
      <w:tr w:rsidR="009C4C79" w14:paraId="31302C52" w14:textId="77777777">
        <w:tblPrEx>
          <w:tblCellMar>
            <w:top w:w="0" w:type="dxa"/>
            <w:bottom w:w="0" w:type="dxa"/>
          </w:tblCellMar>
        </w:tblPrEx>
        <w:trPr>
          <w:cantSplit/>
        </w:trPr>
        <w:tc>
          <w:tcPr>
            <w:tcW w:w="8928" w:type="dxa"/>
            <w:tcBorders>
              <w:top w:val="none" w:sz="0" w:space="0" w:color="FFFFFF"/>
              <w:left w:val="none" w:sz="0" w:space="0" w:color="FFFFFF"/>
              <w:bottom w:val="none" w:sz="0" w:space="0" w:color="FFFFFF"/>
              <w:right w:val="none" w:sz="0" w:space="0" w:color="FFFFFF"/>
            </w:tcBorders>
            <w:shd w:val="clear" w:color="auto" w:fill="F4F3EE"/>
            <w:tcMar>
              <w:top w:w="380" w:type="dxa"/>
              <w:left w:w="400" w:type="dxa"/>
              <w:bottom w:w="380" w:type="dxa"/>
              <w:right w:w="400" w:type="dxa"/>
            </w:tcMar>
          </w:tcPr>
          <w:p w14:paraId="71625ADF" w14:textId="77777777" w:rsidR="009C4C79" w:rsidRDefault="00000000">
            <w:pPr>
              <w:spacing w:after="200"/>
            </w:pPr>
            <w:r>
              <w:rPr>
                <w:noProof/>
              </w:rPr>
              <w:drawing>
                <wp:inline distT="0" distB="0" distL="0" distR="0" wp14:anchorId="6359531F" wp14:editId="74D6B7C8">
                  <wp:extent cx="1428750" cy="466725"/>
                  <wp:effectExtent l="0" t="0" r="0" b="0"/>
                  <wp:docPr id="1840921837" name="Picture 1840921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428750" cy="466725"/>
                          </a:xfrm>
                          <a:prstGeom prst="rect">
                            <a:avLst/>
                          </a:prstGeom>
                        </pic:spPr>
                      </pic:pic>
                    </a:graphicData>
                  </a:graphic>
                </wp:inline>
              </w:drawing>
            </w:r>
          </w:p>
          <w:p w14:paraId="65451C03" w14:textId="77777777" w:rsidR="009C4C79" w:rsidRDefault="00000000">
            <w:pPr>
              <w:spacing w:after="60"/>
            </w:pPr>
            <w:r>
              <w:rPr>
                <w:rFonts w:ascii="Libre Baskerville" w:eastAsia="Libre Baskerville" w:hAnsi="Libre Baskerville" w:cs="Libre Baskerville"/>
                <w:color w:val="002145"/>
                <w:sz w:val="26"/>
                <w:szCs w:val="26"/>
              </w:rPr>
              <w:t>[YOUR NAME]</w:t>
            </w:r>
          </w:p>
          <w:p w14:paraId="27509ACC" w14:textId="77777777" w:rsidR="009C4C79" w:rsidRDefault="00000000">
            <w:pPr>
              <w:spacing w:after="140"/>
            </w:pPr>
            <w:r>
              <w:rPr>
                <w:color w:val="6E747C"/>
                <w:sz w:val="19"/>
                <w:szCs w:val="19"/>
              </w:rPr>
              <w:t>[</w:t>
            </w:r>
            <w:proofErr w:type="gramStart"/>
            <w:r>
              <w:rPr>
                <w:color w:val="6E747C"/>
                <w:sz w:val="19"/>
                <w:szCs w:val="19"/>
              </w:rPr>
              <w:t>TITLE]  ·</w:t>
            </w:r>
            <w:proofErr w:type="gramEnd"/>
            <w:r>
              <w:rPr>
                <w:color w:val="6E747C"/>
                <w:sz w:val="19"/>
                <w:szCs w:val="19"/>
              </w:rPr>
              <w:t xml:space="preserve">  [FIRM NAME]</w:t>
            </w:r>
          </w:p>
          <w:p w14:paraId="5A4F59AD" w14:textId="77777777" w:rsidR="009C4C79" w:rsidRDefault="00000000">
            <w:pPr>
              <w:spacing w:line="300" w:lineRule="auto"/>
            </w:pPr>
            <w:r>
              <w:rPr>
                <w:b/>
                <w:bCs/>
                <w:color w:val="002145"/>
                <w:sz w:val="19"/>
                <w:szCs w:val="19"/>
              </w:rPr>
              <w:t>[</w:t>
            </w:r>
            <w:proofErr w:type="gramStart"/>
            <w:r>
              <w:rPr>
                <w:b/>
                <w:bCs/>
                <w:color w:val="002145"/>
                <w:sz w:val="19"/>
                <w:szCs w:val="19"/>
              </w:rPr>
              <w:t xml:space="preserve">PHONE]   </w:t>
            </w:r>
            <w:proofErr w:type="gramEnd"/>
            <w:r>
              <w:rPr>
                <w:b/>
                <w:bCs/>
                <w:color w:val="002145"/>
                <w:sz w:val="19"/>
                <w:szCs w:val="19"/>
              </w:rPr>
              <w:t>·</w:t>
            </w:r>
            <w:proofErr w:type="gramStart"/>
            <w:r>
              <w:rPr>
                <w:b/>
                <w:bCs/>
                <w:color w:val="002145"/>
                <w:sz w:val="19"/>
                <w:szCs w:val="19"/>
              </w:rPr>
              <w:t xml:space="preserve">   [EMAIL]   </w:t>
            </w:r>
            <w:proofErr w:type="gramEnd"/>
            <w:r>
              <w:rPr>
                <w:b/>
                <w:bCs/>
                <w:color w:val="002145"/>
                <w:sz w:val="19"/>
                <w:szCs w:val="19"/>
              </w:rPr>
              <w:t>·</w:t>
            </w:r>
            <w:proofErr w:type="gramStart"/>
            <w:r>
              <w:rPr>
                <w:b/>
                <w:bCs/>
                <w:color w:val="002145"/>
                <w:sz w:val="19"/>
                <w:szCs w:val="19"/>
              </w:rPr>
              <w:t xml:space="preserve">   [</w:t>
            </w:r>
            <w:proofErr w:type="gramEnd"/>
            <w:r>
              <w:rPr>
                <w:b/>
                <w:bCs/>
                <w:color w:val="002145"/>
                <w:sz w:val="19"/>
                <w:szCs w:val="19"/>
              </w:rPr>
              <w:t>WEBSITE]</w:t>
            </w:r>
          </w:p>
        </w:tc>
      </w:tr>
    </w:tbl>
    <w:p w14:paraId="202123E7" w14:textId="77777777" w:rsidR="003B0B99" w:rsidRDefault="003B0B99"/>
    <w:sectPr w:rsidR="003B0B99">
      <w:headerReference w:type="default" r:id="rId12"/>
      <w:footerReference w:type="default" r:id="rId13"/>
      <w:pgSz w:w="12240" w:h="15840"/>
      <w:pgMar w:top="1440" w:right="1656" w:bottom="1300" w:left="1656"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1805EEB" w14:textId="77777777" w:rsidR="003B0B99" w:rsidRDefault="003B0B99">
      <w:pPr>
        <w:spacing w:line="240" w:lineRule="auto"/>
      </w:pPr>
      <w:r>
        <w:separator/>
      </w:r>
    </w:p>
  </w:endnote>
  <w:endnote w:type="continuationSeparator" w:id="0">
    <w:p w14:paraId="2A0ED5FF" w14:textId="77777777" w:rsidR="003B0B99" w:rsidRDefault="003B0B9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DM Sans">
    <w:panose1 w:val="00000000000000000000"/>
    <w:charset w:val="4D"/>
    <w:family w:val="auto"/>
    <w:pitch w:val="variable"/>
    <w:sig w:usb0="8000002F" w:usb1="5000205B"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Libre Baskerville">
    <w:panose1 w:val="02000000000000000000"/>
    <w:charset w:val="00"/>
    <w:family w:val="auto"/>
    <w:pitch w:val="variable"/>
    <w:sig w:usb0="A00000BF" w:usb1="5000005B" w:usb2="00000000" w:usb3="00000000" w:csb0="00000093"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47350D6" w14:textId="75E9B797" w:rsidR="009C4C79" w:rsidRDefault="00000000">
    <w:pPr>
      <w:pBdr>
        <w:top w:val="single" w:sz="4" w:space="0" w:color="D9D9D9"/>
      </w:pBdr>
      <w:tabs>
        <w:tab w:val="right" w:pos="8928"/>
      </w:tabs>
      <w:spacing w:before="60"/>
    </w:pPr>
    <w:r>
      <w:rPr>
        <w:b/>
        <w:bCs/>
        <w:color w:val="6E747C"/>
        <w:spacing w:val="50"/>
        <w:sz w:val="13"/>
        <w:szCs w:val="13"/>
      </w:rPr>
      <w:t>[FIRM NAME]</w:t>
    </w:r>
    <w:r>
      <w:tab/>
    </w:r>
    <w:r>
      <w:rPr>
        <w:b/>
        <w:bCs/>
        <w:color w:val="002145"/>
        <w:sz w:val="15"/>
        <w:szCs w:val="15"/>
      </w:rPr>
      <w:fldChar w:fldCharType="begin"/>
    </w:r>
    <w:r>
      <w:rPr>
        <w:b/>
        <w:bCs/>
        <w:color w:val="002145"/>
        <w:sz w:val="15"/>
        <w:szCs w:val="15"/>
      </w:rPr>
      <w:instrText>PAGE</w:instrText>
    </w:r>
    <w:r>
      <w:rPr>
        <w:b/>
        <w:bCs/>
        <w:color w:val="002145"/>
        <w:sz w:val="15"/>
        <w:szCs w:val="15"/>
      </w:rPr>
      <w:fldChar w:fldCharType="separate"/>
    </w:r>
    <w:r w:rsidR="004C67D0">
      <w:rPr>
        <w:b/>
        <w:bCs/>
        <w:noProof/>
        <w:color w:val="002145"/>
        <w:sz w:val="15"/>
        <w:szCs w:val="15"/>
      </w:rPr>
      <w:t>1</w:t>
    </w:r>
    <w:r>
      <w:rPr>
        <w:b/>
        <w:bCs/>
        <w:color w:val="002145"/>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44972A8" w14:textId="77777777" w:rsidR="003B0B99" w:rsidRDefault="003B0B99">
      <w:pPr>
        <w:spacing w:line="240" w:lineRule="auto"/>
      </w:pPr>
      <w:r>
        <w:separator/>
      </w:r>
    </w:p>
  </w:footnote>
  <w:footnote w:type="continuationSeparator" w:id="0">
    <w:p w14:paraId="5BE5EFAC" w14:textId="77777777" w:rsidR="003B0B99" w:rsidRDefault="003B0B9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A743DC4" w14:textId="77777777" w:rsidR="009C4C79" w:rsidRDefault="00000000">
    <w:pPr>
      <w:pBdr>
        <w:bottom w:val="single" w:sz="4" w:space="0" w:color="D9D9D9"/>
      </w:pBdr>
    </w:pPr>
    <w:r>
      <w:rPr>
        <w:b/>
        <w:bCs/>
        <w:color w:val="6E747C"/>
        <w:spacing w:val="70"/>
        <w:sz w:val="13"/>
        <w:szCs w:val="13"/>
      </w:rPr>
      <w:t>BUSINESS VALUE 101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A6E79E4"/>
    <w:multiLevelType w:val="hybridMultilevel"/>
    <w:tmpl w:val="CC789356"/>
    <w:lvl w:ilvl="0" w:tplc="CB180D18">
      <w:start w:val="1"/>
      <w:numFmt w:val="bullet"/>
      <w:lvlText w:val="–"/>
      <w:lvlJc w:val="left"/>
      <w:pPr>
        <w:ind w:left="300" w:hanging="300"/>
      </w:pPr>
      <w:rPr>
        <w:rFonts w:ascii="DM Sans" w:eastAsia="DM Sans" w:hAnsi="DM Sans" w:cs="DM Sans"/>
        <w:b/>
        <w:bCs/>
        <w:color w:val="66C010"/>
        <w:sz w:val="21"/>
        <w:szCs w:val="21"/>
      </w:rPr>
    </w:lvl>
    <w:lvl w:ilvl="1" w:tplc="9EF471FE">
      <w:numFmt w:val="decimal"/>
      <w:lvlText w:val=""/>
      <w:lvlJc w:val="left"/>
    </w:lvl>
    <w:lvl w:ilvl="2" w:tplc="A0B02186">
      <w:numFmt w:val="decimal"/>
      <w:lvlText w:val=""/>
      <w:lvlJc w:val="left"/>
    </w:lvl>
    <w:lvl w:ilvl="3" w:tplc="9DB819C2">
      <w:numFmt w:val="decimal"/>
      <w:lvlText w:val=""/>
      <w:lvlJc w:val="left"/>
    </w:lvl>
    <w:lvl w:ilvl="4" w:tplc="6AEA263A">
      <w:numFmt w:val="decimal"/>
      <w:lvlText w:val=""/>
      <w:lvlJc w:val="left"/>
    </w:lvl>
    <w:lvl w:ilvl="5" w:tplc="0B0644F8">
      <w:numFmt w:val="decimal"/>
      <w:lvlText w:val=""/>
      <w:lvlJc w:val="left"/>
    </w:lvl>
    <w:lvl w:ilvl="6" w:tplc="2E167ACA">
      <w:numFmt w:val="decimal"/>
      <w:lvlText w:val=""/>
      <w:lvlJc w:val="left"/>
    </w:lvl>
    <w:lvl w:ilvl="7" w:tplc="F6D4C180">
      <w:numFmt w:val="decimal"/>
      <w:lvlText w:val=""/>
      <w:lvlJc w:val="left"/>
    </w:lvl>
    <w:lvl w:ilvl="8" w:tplc="EEB8A932">
      <w:numFmt w:val="decimal"/>
      <w:lvlText w:val=""/>
      <w:lvlJc w:val="left"/>
    </w:lvl>
  </w:abstractNum>
  <w:abstractNum w:abstractNumId="1" w15:restartNumberingAfterBreak="0">
    <w:nsid w:val="798249B8"/>
    <w:multiLevelType w:val="hybridMultilevel"/>
    <w:tmpl w:val="BDB4234A"/>
    <w:lvl w:ilvl="0" w:tplc="41BC32C4">
      <w:start w:val="1"/>
      <w:numFmt w:val="bullet"/>
      <w:lvlText w:val="●"/>
      <w:lvlJc w:val="left"/>
      <w:pPr>
        <w:ind w:left="720" w:hanging="360"/>
      </w:pPr>
    </w:lvl>
    <w:lvl w:ilvl="1" w:tplc="E11456C6">
      <w:start w:val="1"/>
      <w:numFmt w:val="bullet"/>
      <w:lvlText w:val="○"/>
      <w:lvlJc w:val="left"/>
      <w:pPr>
        <w:ind w:left="1440" w:hanging="360"/>
      </w:pPr>
    </w:lvl>
    <w:lvl w:ilvl="2" w:tplc="63426FB8">
      <w:start w:val="1"/>
      <w:numFmt w:val="bullet"/>
      <w:lvlText w:val="■"/>
      <w:lvlJc w:val="left"/>
      <w:pPr>
        <w:ind w:left="2160" w:hanging="360"/>
      </w:pPr>
    </w:lvl>
    <w:lvl w:ilvl="3" w:tplc="6C0C632E">
      <w:start w:val="1"/>
      <w:numFmt w:val="bullet"/>
      <w:lvlText w:val="●"/>
      <w:lvlJc w:val="left"/>
      <w:pPr>
        <w:ind w:left="2880" w:hanging="360"/>
      </w:pPr>
    </w:lvl>
    <w:lvl w:ilvl="4" w:tplc="4434D5B0">
      <w:start w:val="1"/>
      <w:numFmt w:val="bullet"/>
      <w:lvlText w:val="○"/>
      <w:lvlJc w:val="left"/>
      <w:pPr>
        <w:ind w:left="3600" w:hanging="360"/>
      </w:pPr>
    </w:lvl>
    <w:lvl w:ilvl="5" w:tplc="66DA23A0">
      <w:start w:val="1"/>
      <w:numFmt w:val="bullet"/>
      <w:lvlText w:val="■"/>
      <w:lvlJc w:val="left"/>
      <w:pPr>
        <w:ind w:left="4320" w:hanging="360"/>
      </w:pPr>
    </w:lvl>
    <w:lvl w:ilvl="6" w:tplc="334088FA">
      <w:start w:val="1"/>
      <w:numFmt w:val="bullet"/>
      <w:lvlText w:val="●"/>
      <w:lvlJc w:val="left"/>
      <w:pPr>
        <w:ind w:left="5040" w:hanging="360"/>
      </w:pPr>
    </w:lvl>
    <w:lvl w:ilvl="7" w:tplc="5978D4AA">
      <w:start w:val="1"/>
      <w:numFmt w:val="bullet"/>
      <w:lvlText w:val="●"/>
      <w:lvlJc w:val="left"/>
      <w:pPr>
        <w:ind w:left="5760" w:hanging="360"/>
      </w:pPr>
    </w:lvl>
    <w:lvl w:ilvl="8" w:tplc="F522D2B8">
      <w:start w:val="1"/>
      <w:numFmt w:val="bullet"/>
      <w:lvlText w:val="●"/>
      <w:lvlJc w:val="left"/>
      <w:pPr>
        <w:ind w:left="6480" w:hanging="360"/>
      </w:pPr>
    </w:lvl>
  </w:abstractNum>
  <w:num w:numId="1" w16cid:durableId="264122891">
    <w:abstractNumId w:val="1"/>
    <w:lvlOverride w:ilvl="0">
      <w:startOverride w:val="1"/>
    </w:lvlOverride>
  </w:num>
  <w:num w:numId="2" w16cid:durableId="1257714877">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1"/>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4C79"/>
    <w:rsid w:val="003B0B99"/>
    <w:rsid w:val="004C67D0"/>
    <w:rsid w:val="00576F9F"/>
    <w:rsid w:val="009C4C79"/>
    <w:rsid w:val="00C53322"/>
    <w:rsid w:val="00D852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EB815BF"/>
  <w15:docId w15:val="{6ACD06B0-5722-3D4E-B645-777335DFAC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DM Sans" w:eastAsia="DM Sans" w:hAnsi="DM Sans" w:cs="DM Sans"/>
        <w:color w:val="2E3238"/>
        <w:sz w:val="21"/>
        <w:szCs w:val="21"/>
        <w:lang w:val="en-US" w:eastAsia="en-US" w:bidi="ar-SA"/>
      </w:rPr>
    </w:rPrDefault>
    <w:pPrDefault>
      <w:pPr>
        <w:spacing w:line="33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line="240" w:lineRule="auto"/>
    </w:pPr>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12</Pages>
  <Words>1974</Words>
  <Characters>10288</Characters>
  <Application>Microsoft Office Word</Application>
  <DocSecurity>0</DocSecurity>
  <Lines>285</Lines>
  <Paragraphs>197</Paragraphs>
  <ScaleCrop>false</ScaleCrop>
  <Company/>
  <LinksUpToDate>false</LinksUpToDate>
  <CharactersWithSpaces>12065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Paige Freel</cp:lastModifiedBy>
  <cp:revision>4</cp:revision>
  <dcterms:created xsi:type="dcterms:W3CDTF">2026-08-19T18:12:00Z</dcterms:created>
  <dcterms:modified xsi:type="dcterms:W3CDTF">2026-08-19T18:14:00Z</dcterms:modified>
</cp:coreProperties>
</file>